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7058" w14:textId="77777777" w:rsidR="008B4029" w:rsidRDefault="007C59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6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B3C1E6A" wp14:editId="7C67BC0B">
            <wp:simplePos x="0" y="0"/>
            <wp:positionH relativeFrom="column">
              <wp:posOffset>-365759</wp:posOffset>
            </wp:positionH>
            <wp:positionV relativeFrom="line">
              <wp:posOffset>-40640</wp:posOffset>
            </wp:positionV>
            <wp:extent cx="1084581" cy="70929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4581" cy="709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33D59C" w14:textId="77777777" w:rsidR="008B4029" w:rsidRDefault="007C59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6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АССОЦИАЦИЯ «НАЦИОНАЛЬНОЕ ОБЪЕДИНЕНИЕ СТРОИТЕЛЕЙ»</w:t>
      </w:r>
    </w:p>
    <w:p w14:paraId="2E967C0B" w14:textId="77777777" w:rsidR="008B4029" w:rsidRDefault="007C5986">
      <w:pPr>
        <w:spacing w:after="60" w:line="240" w:lineRule="auto"/>
        <w:ind w:left="12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НАУЧНО-КОНСУЛЬТАТИВНАЯ КОМИССИЯ</w:t>
      </w:r>
    </w:p>
    <w:p w14:paraId="5E217894" w14:textId="77777777" w:rsidR="008B4029" w:rsidRDefault="008B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BA3A7" w14:textId="77777777" w:rsidR="008B4029" w:rsidRDefault="008B402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06207FF" w14:textId="77777777" w:rsidR="008B4029" w:rsidRDefault="008B4029">
      <w:pPr>
        <w:spacing w:after="0" w:line="240" w:lineRule="auto"/>
        <w:ind w:left="3828"/>
        <w:rPr>
          <w:rFonts w:ascii="Times New Roman" w:eastAsia="Times New Roman" w:hAnsi="Times New Roman" w:cs="Times New Roman"/>
          <w:sz w:val="23"/>
          <w:szCs w:val="23"/>
        </w:rPr>
      </w:pPr>
    </w:p>
    <w:p w14:paraId="5BD9A2AB" w14:textId="77777777" w:rsidR="008B4029" w:rsidRDefault="007C59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Научно-консультативной комиссией (протокол от ______ № _____ )</w:t>
      </w:r>
    </w:p>
    <w:p w14:paraId="47425C94" w14:textId="77777777" w:rsidR="008B4029" w:rsidRDefault="008B4029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57E6672A" w14:textId="77777777" w:rsidR="008B4029" w:rsidRDefault="008B4029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3D10A873" w14:textId="77777777" w:rsidR="008B4029" w:rsidRDefault="007C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Аналитическая справка</w:t>
      </w:r>
    </w:p>
    <w:p w14:paraId="431B16B9" w14:textId="77777777" w:rsidR="008B4029" w:rsidRDefault="007C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вопросу наличия (отсутствия) необходимости</w:t>
      </w:r>
    </w:p>
    <w:p w14:paraId="014393F9" w14:textId="77777777" w:rsidR="008B4029" w:rsidRDefault="007C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саморегулируемой организацией проверять специальные требования,</w:t>
      </w:r>
    </w:p>
    <w:p w14:paraId="189065FE" w14:textId="77777777" w:rsidR="008B4029" w:rsidRDefault="007C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установленные законодательством Российской Федерации</w:t>
      </w:r>
    </w:p>
    <w:p w14:paraId="76A56D08" w14:textId="77777777" w:rsidR="008B4029" w:rsidRDefault="008B40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54B43E" w14:textId="77777777" w:rsidR="008B4029" w:rsidRDefault="007C5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 подготовлена рабочей группой, сформированной в следующем составе:</w:t>
      </w:r>
    </w:p>
    <w:p w14:paraId="23939926" w14:textId="77777777" w:rsidR="008B4029" w:rsidRDefault="008B40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70C7C" w14:textId="77777777" w:rsidR="008B4029" w:rsidRDefault="007C5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3C56EE67" w14:textId="77777777" w:rsidR="008B4029" w:rsidRDefault="007C598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Шевляков – руководитель рабочей группы;</w:t>
      </w:r>
    </w:p>
    <w:p w14:paraId="6E04BAE9" w14:textId="77777777" w:rsidR="008B4029" w:rsidRDefault="007C598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Н.Р. Скакодуб – ответственный секретарь;</w:t>
      </w:r>
    </w:p>
    <w:p w14:paraId="46836026" w14:textId="77777777" w:rsidR="008B4029" w:rsidRDefault="007C598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Дубинина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390C7409" w14:textId="77777777" w:rsidR="008B4029" w:rsidRDefault="007C598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Сало.</w:t>
      </w:r>
    </w:p>
    <w:p w14:paraId="2DCC5C21" w14:textId="77777777" w:rsidR="008B4029" w:rsidRDefault="008B402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7362F" w14:textId="77777777" w:rsidR="008B4029" w:rsidRDefault="007C598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Описательно-мотивировочная часть</w:t>
      </w:r>
    </w:p>
    <w:p w14:paraId="0DE65489" w14:textId="77777777" w:rsidR="008B4029" w:rsidRDefault="007C5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Научно-консультативной комиссией Ассоциации «Национальное объединение строителей» (далее – Научно-консультативная комиссия) проведено исследование по вышеуказанному вопросу.</w:t>
      </w:r>
    </w:p>
    <w:p w14:paraId="5845CCBB" w14:textId="29EB1EAC" w:rsidR="008B4029" w:rsidRDefault="007C5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исследования Научно-консультативная комиссия проанализировала нормы Градостроительного кодекса Российской Федерации (далее – ГрК РФ), Федерального закона от 01.12.2007 № 315-ФЗ «О саморегулируемых организациях» (далее – Закон № 315-ФЗ), Федерального закона от 27.12.2002 № 184-ФЗ «О техническом регулировании» (далее – Закон № 184-ФЗ), </w:t>
      </w:r>
      <w:bookmarkStart w:id="1" w:name="_Hlk86250108"/>
      <w:r>
        <w:rPr>
          <w:rFonts w:ascii="Times New Roman" w:hAnsi="Times New Roman"/>
          <w:sz w:val="28"/>
          <w:szCs w:val="28"/>
        </w:rPr>
        <w:t xml:space="preserve">Федерального закона от 04.05.2011 № 99-ФЗ «О </w:t>
      </w:r>
      <w:r>
        <w:rPr>
          <w:rFonts w:ascii="Times New Roman" w:hAnsi="Times New Roman"/>
          <w:sz w:val="28"/>
          <w:szCs w:val="28"/>
        </w:rPr>
        <w:lastRenderedPageBreak/>
        <w:t xml:space="preserve">лицензировании отдельных видов деятельности» </w:t>
      </w:r>
      <w:bookmarkEnd w:id="1"/>
      <w:r>
        <w:rPr>
          <w:rFonts w:ascii="Times New Roman" w:hAnsi="Times New Roman"/>
          <w:sz w:val="28"/>
          <w:szCs w:val="28"/>
        </w:rPr>
        <w:t xml:space="preserve">(далее – Закон № 99-ФЗ),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 № 294-ФЗ), Закона Российской Федерации от 21.07.1993 № 5485-1 «О государственной тайне» (далее – Закон № 5485-1), </w:t>
      </w:r>
      <w:r w:rsidR="009C43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9C4322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29.03.2013 № 280 «О лицензировании деятельности в области использования атомной энергии» (далее – Постановление Правительства РФ № 280), </w:t>
      </w:r>
      <w:r w:rsidR="009C43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9C432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11.05.2017 № 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технических сложных и уникальных объектов» (далее – Постановление Правительства РФ № 559), Постановления Правительства Российской Федерации от 15.04.1995 № 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 (далее – Постановление Правительства РФ № 333), Приказа ФАС России от 25.05.2012 № 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(далее – Приказ ФАС России от 25.05.2012 № 340), позицию в Разъяснениях ФАС России от 02.08.2010 № 09/753 «О проведении проверки саморегулируемой организации на предмет соблюдения антимонопольного законодательства» (далее – Разъяснения ФАС России от 02.08.2010 № 09/753), в письме Росреестра от 15.08.2013 № 16-исх/07432-МС/13 «О рассмотрении обращения по вопросу проведения проверок организаций изыскательского </w:t>
      </w:r>
      <w:r>
        <w:rPr>
          <w:rFonts w:ascii="Times New Roman" w:hAnsi="Times New Roman"/>
          <w:sz w:val="28"/>
          <w:szCs w:val="28"/>
        </w:rPr>
        <w:lastRenderedPageBreak/>
        <w:t>сообщества на предмет соблюдения ими законодательства в области геодезии и картографии» (далее – письмо Росреестра от 15.08.2013 № 16-исх/07432-МС/13), а также судебную практику.</w:t>
      </w:r>
    </w:p>
    <w:p w14:paraId="08CC0E49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Научно-консультативной комиссией установлено следующее.</w:t>
      </w:r>
    </w:p>
    <w:p w14:paraId="174CACA9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положениям части 1 статьи 9 и пункта 8 части 1 статьи 6 Закона № 315-ФЗ одной из основных функций саморегулируемой организации является осуществление контроля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путем проведения плановых и внеплановых проверок.</w:t>
      </w:r>
    </w:p>
    <w:p w14:paraId="73889453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55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ГрК РФ содержанием деятельности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объекта капитального строительства является разработка и утверждение документов, предусмотренных статей 55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ГрК РФ, а также контроль за соблюдением членами такой саморегулируемой организации требований этих документов.</w:t>
      </w:r>
    </w:p>
    <w:p w14:paraId="59AF388D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части 9 статьи 55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ГрК РФ стандарты саморегулируемой организации и внутренние документы не могут противоречить ГрК РФ, законодательству Российской Федерации о техническом регулировании, а также стандартам на процессы выполнения работ по инженерным изысканиям, подготовке проектной документации, строительству, реконструкции, капитальному ремонту, </w:t>
      </w:r>
      <w:r w:rsidR="00C117E8">
        <w:rPr>
          <w:rFonts w:ascii="Times New Roman" w:hAnsi="Times New Roman"/>
          <w:sz w:val="28"/>
          <w:szCs w:val="28"/>
        </w:rPr>
        <w:t>сносу объектов капита</w:t>
      </w:r>
      <w:r>
        <w:rPr>
          <w:rFonts w:ascii="Times New Roman" w:hAnsi="Times New Roman"/>
          <w:sz w:val="28"/>
          <w:szCs w:val="28"/>
        </w:rPr>
        <w:t>льного строительства, утвержденным соответствующим Национальным объединением саморегулируемых организаций.</w:t>
      </w:r>
    </w:p>
    <w:p w14:paraId="32195190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Саморегулируемая организация осуществляет контроль за деятельность своих членов в соответствии с Законом № 315-ФЗ (часть 1 статьи 55</w:t>
      </w:r>
      <w:r>
        <w:rPr>
          <w:rFonts w:ascii="Times New Roman" w:hAnsi="Times New Roman"/>
          <w:sz w:val="28"/>
          <w:szCs w:val="28"/>
          <w:vertAlign w:val="superscript"/>
        </w:rPr>
        <w:t>13</w:t>
      </w:r>
      <w:r>
        <w:rPr>
          <w:rFonts w:ascii="Times New Roman" w:hAnsi="Times New Roman"/>
          <w:sz w:val="28"/>
          <w:szCs w:val="28"/>
        </w:rPr>
        <w:t xml:space="preserve"> ГрК РФ).</w:t>
      </w:r>
    </w:p>
    <w:p w14:paraId="105AE113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8 части 1 статьи 6 Закона № 315-ФЗ саморегулируемая организация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путем проведения плановых и внеплановых проверок, предусмотренных статей 9 Закона № 315-ФЗ. Таким образом, в Законе № 315-ФЗ закреплен предмет проверки </w:t>
      </w:r>
      <w:r w:rsidR="00C117E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соблюдение членом саморегулируемой организации внутренних документов саморегулируемой организации.</w:t>
      </w:r>
    </w:p>
    <w:p w14:paraId="09794EA0" w14:textId="77777777" w:rsidR="00C117E8" w:rsidRDefault="007C5986" w:rsidP="00C117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статьи 55</w:t>
      </w:r>
      <w:r>
        <w:rPr>
          <w:rFonts w:ascii="Times New Roman" w:hAnsi="Times New Roman"/>
          <w:sz w:val="28"/>
          <w:szCs w:val="28"/>
          <w:vertAlign w:val="superscript"/>
        </w:rPr>
        <w:t>13</w:t>
      </w:r>
      <w:r>
        <w:rPr>
          <w:rFonts w:ascii="Times New Roman" w:hAnsi="Times New Roman"/>
          <w:sz w:val="28"/>
          <w:szCs w:val="28"/>
        </w:rPr>
        <w:t xml:space="preserve"> ГрК РФ устанавливает обязанность саморегулируемой организации осуществлять в рамках контроля за деятельностью своих членов контроль:</w:t>
      </w:r>
    </w:p>
    <w:p w14:paraId="0DCA16DC" w14:textId="77777777" w:rsidR="008B4029" w:rsidRPr="00C117E8" w:rsidRDefault="007C5986" w:rsidP="00C117E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E8">
        <w:rPr>
          <w:rFonts w:ascii="Times New Roman" w:hAnsi="Times New Roman"/>
          <w:sz w:val="28"/>
          <w:szCs w:val="28"/>
        </w:rPr>
        <w:t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14:paraId="1CDBBB62" w14:textId="77777777" w:rsidR="008B4029" w:rsidRDefault="007C598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34B060B0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вышеизложенное, функция контроля саморегулируемых организаций в сфере капитального строительства, проектирования и </w:t>
      </w:r>
      <w:r>
        <w:rPr>
          <w:rFonts w:ascii="Times New Roman" w:hAnsi="Times New Roman"/>
          <w:sz w:val="28"/>
          <w:szCs w:val="28"/>
        </w:rPr>
        <w:lastRenderedPageBreak/>
        <w:t>инженерных изысканий включает в себя контроль не только за соблюдением членами требований стандартов и правил саморегулируемой организации, условий членства в саморегулируемой организации (часть 2 статьи 9 Закона № 315-ФЗ), но и контроль за соблюдением требований законодательства Российской Федерации о градостроительной деятельности, о техническом регулировании, включая соблюдение членами названных организаций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(статья 55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13 </w:t>
      </w:r>
      <w:r>
        <w:rPr>
          <w:rFonts w:ascii="Times New Roman" w:hAnsi="Times New Roman"/>
          <w:sz w:val="28"/>
          <w:szCs w:val="28"/>
        </w:rPr>
        <w:t>ГрК РФ).</w:t>
      </w:r>
    </w:p>
    <w:p w14:paraId="6D7A21B7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части 1 статьи 3 и части 1 статьи 4 ГрК РФ законодательство о градостроительной деятельности состоит из ГрК РФ,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и регулирует отношения, в том числе по архитектурно-строительному проектированию, по строительству объектов капитального строительства, их реконструкции, капитальному ремонту, сносу, а также по эксплуатации зданий, сооружений (далее – градостроительные отношения).</w:t>
      </w:r>
    </w:p>
    <w:p w14:paraId="016C6B43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обязательным условием отнесения нормативного правового акта к </w:t>
      </w:r>
      <w:r w:rsidRPr="009C4322">
        <w:rPr>
          <w:rFonts w:ascii="Times New Roman" w:hAnsi="Times New Roman"/>
          <w:sz w:val="28"/>
          <w:szCs w:val="28"/>
        </w:rPr>
        <w:t>законодательству</w:t>
      </w:r>
      <w:r w:rsidR="0056116D" w:rsidRPr="009C4322">
        <w:rPr>
          <w:rFonts w:ascii="Times New Roman" w:hAnsi="Times New Roman"/>
          <w:sz w:val="28"/>
          <w:szCs w:val="28"/>
        </w:rPr>
        <w:t xml:space="preserve">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является регулирование им градостроительных отношений.</w:t>
      </w:r>
    </w:p>
    <w:p w14:paraId="375B8D88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техническим регулированием понимаются отношения в области установления, применения и исполнения обязательных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применения на добровольной основе требований к продукции, процессам проектирования (включая </w:t>
      </w:r>
      <w:r>
        <w:rPr>
          <w:rFonts w:ascii="Times New Roman" w:hAnsi="Times New Roman"/>
          <w:sz w:val="28"/>
          <w:szCs w:val="28"/>
        </w:rPr>
        <w:lastRenderedPageBreak/>
        <w:t>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 (абзац 21 статьи 2 Закона № 184). Положения пункта 1 статьи 4 Закона № 184 устанавливают, что законодательство о техническом ре</w:t>
      </w:r>
      <w:r w:rsidR="00E1074E">
        <w:rPr>
          <w:rFonts w:ascii="Times New Roman" w:hAnsi="Times New Roman"/>
          <w:sz w:val="28"/>
          <w:szCs w:val="28"/>
        </w:rPr>
        <w:t>гулировании состоит из Закона № </w:t>
      </w:r>
      <w:r>
        <w:rPr>
          <w:rFonts w:ascii="Times New Roman" w:hAnsi="Times New Roman"/>
          <w:sz w:val="28"/>
          <w:szCs w:val="28"/>
        </w:rPr>
        <w:t>184, и принимаемых в соответствии с ним федеральных законов и иных нормативных правовых актов Российской Федерации.</w:t>
      </w:r>
    </w:p>
    <w:p w14:paraId="4E5169FB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подготовке проектной документации, строительству, реконструкции, </w:t>
      </w:r>
      <w:r w:rsidR="00E1074E">
        <w:rPr>
          <w:rFonts w:ascii="Times New Roman" w:hAnsi="Times New Roman"/>
          <w:sz w:val="28"/>
          <w:szCs w:val="28"/>
        </w:rPr>
        <w:t>капита</w:t>
      </w:r>
      <w:r>
        <w:rPr>
          <w:rFonts w:ascii="Times New Roman" w:hAnsi="Times New Roman"/>
          <w:sz w:val="28"/>
          <w:szCs w:val="28"/>
        </w:rPr>
        <w:t>льному ремонту, сносу объектов капитального строительства, утвержденных соответствующим Национальным объединением саморегулируемых организаций, стандартов и внутренних документов саморегулируемой организации, саморегулируемой организацией в соответствии с частью 1 статьи 55</w:t>
      </w:r>
      <w:r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 xml:space="preserve"> ГрК РФ могут быть применены меры дисциплинарного воздействия в отношении своего члена, допустившего такое нарушение.</w:t>
      </w:r>
    </w:p>
    <w:p w14:paraId="245BA3BE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определенных видов строительных работ или осуществлении строительства на определенных объектах законодательством Российской Федерации могут предъявляться дополнительные специальные требования.</w:t>
      </w:r>
    </w:p>
    <w:p w14:paraId="6AA57687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особо опасных, технически сложных и уникальных объектов при осуществлении строительства, реконструкции, капитального ремонта предъявляются дополнительные требования, касающиеся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сотрудников члена саморегулируемой организации, имущества и т.д. (раздел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РФ № 559, часть 8 статьи 55</w:t>
      </w:r>
      <w:r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ГрК РФ). При </w:t>
      </w:r>
      <w:r>
        <w:rPr>
          <w:rFonts w:ascii="Times New Roman" w:hAnsi="Times New Roman"/>
          <w:sz w:val="28"/>
          <w:szCs w:val="28"/>
        </w:rPr>
        <w:lastRenderedPageBreak/>
        <w:t>этом не требуется наличия специального разрешения (лицензии) на выполнение таких работ.</w:t>
      </w:r>
    </w:p>
    <w:p w14:paraId="68C11652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разделом II Постановления Правительства РФ № 559 установлены минимальные требования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энергии. Обязательным требованием для выполнения таких работ является наличие лицензии на соответствующие виды деятельности в области использования атомной энергии, выданной в соответствии с Постановлением Правительства РФ № 280. Лицензию для осуществления строительных работ на объектах использования атомной энергии в соответствии с Законом № 170 и Постановлением Правительства РФ № 280 предоставляет Федеральная служба по экологическому, технологическому и атомному надзору (далее – Ростехнадзор).</w:t>
      </w:r>
    </w:p>
    <w:p w14:paraId="52823C9A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Таким образом, для включения саморегулируемой организацией в реестр членов саморегулируемой организации информации о праве члена саморегулируемой организации выполнять работы по строительству, реконструкции, капитальному ремонту объектов использования атомной энергии саморегулируемой организации необходимо проверить наличие лицензии на соответствующие виды деятельности в области использования атомной энергии</w:t>
      </w:r>
      <w:r w:rsidR="00E107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обязанность осуществлять контроль лицензиата за соблюдением предъявляемых к нему требований в рамках федерального государственного надзора в области использования атомной энергии закреплена за Ростехнадзором в соответствии с пунктами 33 и 34 Постановления Правительства РФ № 280. </w:t>
      </w:r>
    </w:p>
    <w:p w14:paraId="695BC09A" w14:textId="44A0463F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Научно-консультативной комиссией также был проведен анализ иных случаев выполнения определенных видов строительных работ членом </w:t>
      </w:r>
      <w:r>
        <w:rPr>
          <w:rFonts w:ascii="Times New Roman" w:hAnsi="Times New Roman"/>
          <w:sz w:val="28"/>
          <w:szCs w:val="28"/>
        </w:rPr>
        <w:lastRenderedPageBreak/>
        <w:t>саморегулируемой организации, которые требуют обязательного наличия специального разрешения (лицензии):</w:t>
      </w:r>
    </w:p>
    <w:p w14:paraId="7FF8B9EB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86248193"/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>Согласно статье 27 Закона № 5485-1 допуск предприятий, учреждений и организаций к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тайны, осуществляется путем получения ими в порядке, устанавливаемом Правительством Российской Федерации, лицензий на проведение работ со сведениями соответствующей степени секретности.</w:t>
      </w:r>
    </w:p>
    <w:p w14:paraId="040174BF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Соответственно, член саморегулируемой организации, осуществляющий строительные работы, связанные с использованием сведений, составляющих государственную тайну, обязан получить лицензию на проведение работ со сведениями соответствующей степени секретности при выполнении предусмотренных условий. Данный вывод можно подтвердить решением Костромского УФАС России от 01.08.2017 № 12-10-39/2017, </w:t>
      </w:r>
      <w:r w:rsidR="00E1074E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указано, что участники закупки должны соответствовать требованиям, установленным аукционной документацией, в том числе предоставить действующую лицензию Федеральной службы безопасности Российской Федерации на осуществление работ, связанных с использованием сведений, составляющих государственную тайну. Комиссией было установлено,</w:t>
      </w:r>
      <w:r w:rsidR="00E1074E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лицензия Федеральной службы безопасности Российской Федерации необходима учреждениям и организациям, независимо от их организационно-правовых форм, для осуществления работ, связанных с использованием сведений, составляющих государственную тайну, таких как: подряд на выполнение строительных и прочих работ (на режимных объектах заказчика); деятельность производства работ по монтажу, ремонту и обслуживанию средств обеспечения пожарной безопасности зданий и сооружений и др.</w:t>
      </w:r>
    </w:p>
    <w:p w14:paraId="46E866FA" w14:textId="41527C18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Также Федеральный закон от 04.05.2011 № 99-ФЗ «О лицензировании отдельных видов деятельности» устанавливает случаи обязательного лицензирования </w:t>
      </w:r>
      <w:r w:rsidR="0056116D" w:rsidRPr="009C4322">
        <w:rPr>
          <w:rFonts w:ascii="Times New Roman" w:hAnsi="Times New Roman"/>
          <w:sz w:val="28"/>
          <w:szCs w:val="28"/>
        </w:rPr>
        <w:t xml:space="preserve">определенных </w:t>
      </w:r>
      <w:r w:rsidRPr="009C4322">
        <w:rPr>
          <w:rFonts w:ascii="Times New Roman" w:hAnsi="Times New Roman"/>
          <w:sz w:val="28"/>
          <w:szCs w:val="28"/>
        </w:rPr>
        <w:t xml:space="preserve">видов </w:t>
      </w:r>
      <w:r w:rsidR="0056116D" w:rsidRPr="009C4322">
        <w:rPr>
          <w:rFonts w:ascii="Times New Roman" w:hAnsi="Times New Roman"/>
          <w:sz w:val="28"/>
          <w:szCs w:val="28"/>
        </w:rPr>
        <w:t>работ</w:t>
      </w:r>
      <w:r w:rsidR="009C4322" w:rsidRPr="009C4322">
        <w:rPr>
          <w:rFonts w:ascii="Times New Roman" w:hAnsi="Times New Roman"/>
          <w:sz w:val="28"/>
          <w:szCs w:val="28"/>
        </w:rPr>
        <w:t>, непосредственно связанных со строительством</w:t>
      </w:r>
      <w:r w:rsidR="0056116D" w:rsidRPr="009C4322">
        <w:rPr>
          <w:rFonts w:ascii="Times New Roman" w:hAnsi="Times New Roman"/>
          <w:sz w:val="28"/>
          <w:szCs w:val="28"/>
        </w:rPr>
        <w:t>, реконструкци</w:t>
      </w:r>
      <w:r w:rsidR="009C4322" w:rsidRPr="009C4322">
        <w:rPr>
          <w:rFonts w:ascii="Times New Roman" w:hAnsi="Times New Roman"/>
          <w:sz w:val="28"/>
          <w:szCs w:val="28"/>
        </w:rPr>
        <w:t>ей</w:t>
      </w:r>
      <w:r w:rsidR="0056116D" w:rsidRPr="009C4322">
        <w:rPr>
          <w:rFonts w:ascii="Times New Roman" w:hAnsi="Times New Roman"/>
          <w:sz w:val="28"/>
          <w:szCs w:val="28"/>
        </w:rPr>
        <w:t xml:space="preserve"> и капиталь</w:t>
      </w:r>
      <w:r w:rsidR="009C4322" w:rsidRPr="009C4322">
        <w:rPr>
          <w:rFonts w:ascii="Times New Roman" w:hAnsi="Times New Roman"/>
          <w:sz w:val="28"/>
          <w:szCs w:val="28"/>
        </w:rPr>
        <w:t xml:space="preserve">ным </w:t>
      </w:r>
      <w:r w:rsidR="0056116D" w:rsidRPr="009C4322">
        <w:rPr>
          <w:rFonts w:ascii="Times New Roman" w:hAnsi="Times New Roman"/>
          <w:sz w:val="28"/>
          <w:szCs w:val="28"/>
        </w:rPr>
        <w:t>ремонт</w:t>
      </w:r>
      <w:r w:rsidR="009C432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(часть 1 статьи 12 Закона № 99-ФЗ):</w:t>
      </w:r>
    </w:p>
    <w:p w14:paraId="5CC3695F" w14:textId="77777777" w:rsidR="008B4029" w:rsidRDefault="007C598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 сохранению объектов культурного наследия (памятников истории и культуры) народов Российской Федерации (пункт 48 части 1 статьи 12 Закона № 99-ФЗ) при выполнении работ на объекте культурного наследия;</w:t>
      </w:r>
    </w:p>
    <w:p w14:paraId="4FAE5892" w14:textId="77777777" w:rsidR="008B4029" w:rsidRDefault="007C598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монтажу, техническому обслуживанию и ремонту средств обеспечения пожарной безопасности зданий и сооружений (пункт 15 часть 1 статьи 12 Закона № 99-ФЗ) в случае если работы по монтажу пожарных систем осуществляются на строящемся объекте, </w:t>
      </w:r>
      <w:r w:rsidR="00E1074E">
        <w:rPr>
          <w:rFonts w:ascii="Times New Roman" w:hAnsi="Times New Roman"/>
          <w:sz w:val="28"/>
          <w:szCs w:val="28"/>
        </w:rPr>
        <w:t>при проведении капита</w:t>
      </w:r>
      <w:r>
        <w:rPr>
          <w:rFonts w:ascii="Times New Roman" w:hAnsi="Times New Roman"/>
          <w:sz w:val="28"/>
          <w:szCs w:val="28"/>
        </w:rPr>
        <w:t>льного ремонта или реконструкции;</w:t>
      </w:r>
    </w:p>
    <w:p w14:paraId="6E88CAED" w14:textId="77777777" w:rsidR="008B4029" w:rsidRDefault="007C598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 (пункт 30 часть 1 статьи 12 Закона № 99-ФЗ) в случае проведения работ по вывозу строительного (например, если предметом договора являются работы по сносу объекта капительного строительства).</w:t>
      </w:r>
    </w:p>
    <w:p w14:paraId="10DDE9E6" w14:textId="77777777" w:rsidR="008B4029" w:rsidRDefault="007C5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Постановление № 559 и другие нормативно-правовые акты не устанавливают обязанност</w:t>
      </w:r>
      <w:r w:rsidR="00E1074E">
        <w:rPr>
          <w:rFonts w:ascii="Times New Roman" w:hAnsi="Times New Roman"/>
          <w:sz w:val="28"/>
          <w:szCs w:val="28"/>
        </w:rPr>
        <w:t xml:space="preserve">и саморегулируемой организации </w:t>
      </w:r>
      <w:r>
        <w:rPr>
          <w:rFonts w:ascii="Times New Roman" w:hAnsi="Times New Roman"/>
          <w:sz w:val="28"/>
          <w:szCs w:val="28"/>
        </w:rPr>
        <w:t xml:space="preserve">проверять соблюдение лицензионных требований, предъявляемых к лицензиату. В отношении соискателя лицензии или лицензиата лицензионный контроль осуществляется лицензирующим органом посредством проведения документарных, плановых и внеплановых выездных проверок с учетом положений Закона № 294-ФЗ, Закона № 99-ФЗ и федеральных законов, регулирующих осуществление видов деятельности в соответствии с частью 4 статьи 1 Закона № 99-ФЗ (статья 19 Закона № 99-ФЗ). Предметом плановых и внеплановых проверок лицензиата являются содержащиеся в документах лицензиата сведения о его деятельности, </w:t>
      </w:r>
      <w:r w:rsidR="00E1074E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используемых при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осуществлении лицензируемого вида деятельности помещений, зданий, сооружений, технических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лицензионных требований, </w:t>
      </w:r>
      <w:r w:rsidR="00A0473F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лицензионных требований.</w:t>
      </w:r>
    </w:p>
    <w:p w14:paraId="2C62E383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лицензиатов, выполняющих работы, </w:t>
      </w:r>
      <w:r w:rsidR="00A0473F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 контроль за соблюдением лицензионных условий осуществляют также органы, уполномоченные на ведение лицензионной деятельности (пункт 14 Постановления Правительства РФ № 333). </w:t>
      </w:r>
    </w:p>
    <w:p w14:paraId="68BEF2F4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1 статьи 2 Закона № 99-ФЗ предусмотрено, что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</w:t>
      </w:r>
    </w:p>
    <w:p w14:paraId="007B56BB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пунктом 1 части 1 статьи 55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ГрК РФ</w:t>
      </w:r>
      <w:r w:rsidR="00A0473F">
        <w:rPr>
          <w:rFonts w:ascii="Times New Roman" w:hAnsi="Times New Roman"/>
          <w:sz w:val="28"/>
          <w:szCs w:val="28"/>
        </w:rPr>
        <w:t xml:space="preserve"> установлено, что</w:t>
      </w:r>
      <w:r>
        <w:rPr>
          <w:rFonts w:ascii="Times New Roman" w:hAnsi="Times New Roman"/>
          <w:sz w:val="28"/>
          <w:szCs w:val="28"/>
        </w:rPr>
        <w:t xml:space="preserve"> одной из основных целей саморегулируемой организации является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</w:t>
      </w:r>
      <w:r>
        <w:rPr>
          <w:rFonts w:ascii="Times New Roman" w:hAnsi="Times New Roman"/>
          <w:sz w:val="28"/>
          <w:szCs w:val="28"/>
        </w:rPr>
        <w:lastRenderedPageBreak/>
        <w:t>которые оказывают влияние на безопасность объектов капитального строительства и выполняются членами саморегулируемых организаций.</w:t>
      </w:r>
    </w:p>
    <w:p w14:paraId="16BB007A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цели деятельности саморегулируемой организации и органов исполнительной власти, осуществляющих лицензирование, совпадают в части недопущения неблагоприятных последствий при осуществлении предусмотренных видов деятельности, у саморегулируемой организации отсутствуют полномочия по осуществлению контроля за соблюдением лицензионных требований.</w:t>
      </w:r>
    </w:p>
    <w:p w14:paraId="1F0E192C" w14:textId="019B714A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дублирование контрольно-надзорных полномочий саморегулируемой организации и органов исполнительной власти</w:t>
      </w:r>
      <w:r w:rsidR="009C4322">
        <w:rPr>
          <w:rFonts w:ascii="Times New Roman" w:hAnsi="Times New Roman"/>
          <w:sz w:val="28"/>
          <w:szCs w:val="28"/>
        </w:rPr>
        <w:t>, осуществляющих лицензирование,</w:t>
      </w:r>
      <w:r>
        <w:rPr>
          <w:rFonts w:ascii="Times New Roman" w:hAnsi="Times New Roman"/>
          <w:sz w:val="28"/>
          <w:szCs w:val="28"/>
        </w:rPr>
        <w:t xml:space="preserve"> может привести к увеличению административной нагрузки на членов саморегулируемой организации - субъектов профессиональной и предпринимательской деятельности. </w:t>
      </w:r>
    </w:p>
    <w:p w14:paraId="7AE86B95" w14:textId="3101DFF1" w:rsidR="008B4029" w:rsidRPr="00101A26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A26">
        <w:rPr>
          <w:rFonts w:ascii="Times New Roman" w:hAnsi="Times New Roman"/>
          <w:color w:val="000000" w:themeColor="text1"/>
          <w:sz w:val="28"/>
          <w:szCs w:val="28"/>
        </w:rPr>
        <w:t>Таким образом, нормы действующего отраслевого законодательства возлагают на органы исполнительной власти,</w:t>
      </w:r>
      <w:r w:rsidRPr="00101A26">
        <w:rPr>
          <w:color w:val="000000" w:themeColor="text1"/>
        </w:rPr>
        <w:t xml:space="preserve"> </w:t>
      </w:r>
      <w:r w:rsidRPr="00101A26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осуществляющих лицензирование, полномочия по осуществлению контроля за соблюдением </w:t>
      </w:r>
      <w:r w:rsidR="00101A26" w:rsidRPr="00101A26">
        <w:rPr>
          <w:rFonts w:ascii="Times New Roman" w:hAnsi="Times New Roman"/>
          <w:color w:val="000000" w:themeColor="text1"/>
          <w:sz w:val="28"/>
          <w:szCs w:val="28"/>
        </w:rPr>
        <w:t>юридическими лицами и индивидуальными предпринимателями</w:t>
      </w:r>
      <w:r w:rsidRPr="00101A26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специальных требований законодательства Российской Федерации о лицензировании.</w:t>
      </w:r>
    </w:p>
    <w:p w14:paraId="41743D56" w14:textId="77777777" w:rsidR="008B4029" w:rsidRDefault="007C59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Аналогичный подход прослеживается в Разъяснениях ФАС России от 02.08.2010 № 09/753 и Приказе ФАС России от 25.05.2012 № 340, согласно которым предметом проверки члена саморегулируемой организации антимонопольными органами является соблюдение требований, предусмотренных статей 11 Федерального закона от 26.07.2006 № 135-ФЗ «О защите конкуренции». В письме Росреестра от 15.08.2013 № 16-исх/07432-МС/13 подтверждается законность проведения проверок любых членов саморегулируемых организаций территориальными органами Росреестра, но по линии государственного геодезического надзора на предмет соблюдения ими законодательства в области геодезии и картографии.</w:t>
      </w:r>
    </w:p>
    <w:p w14:paraId="2361D466" w14:textId="11BCF70D" w:rsidR="008B4029" w:rsidRDefault="007C59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Основываясь на изложенном, Научно-консультативная комиссия приходит к выводу, что ГрК РФ закрепляет предмет, пределы и объем осуществления контроля саморегулируемой организацией своих членов в части соблюдения ими законодательства о градостроительной деятельности, о техническом регулировании</w:t>
      </w:r>
      <w:r w:rsidR="000A3859">
        <w:rPr>
          <w:rFonts w:ascii="Times New Roman" w:hAnsi="Times New Roman"/>
          <w:sz w:val="28"/>
          <w:szCs w:val="28"/>
        </w:rPr>
        <w:t xml:space="preserve">, </w:t>
      </w:r>
      <w:r w:rsidR="000A3859" w:rsidRPr="009C4322">
        <w:rPr>
          <w:rFonts w:ascii="Times New Roman" w:hAnsi="Times New Roman"/>
          <w:color w:val="000000" w:themeColor="text1"/>
          <w:sz w:val="28"/>
          <w:szCs w:val="28"/>
        </w:rPr>
        <w:t>стандартов</w:t>
      </w:r>
      <w:r w:rsidRPr="009C432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0A385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внутренних документов саморегулируемой организации. </w:t>
      </w:r>
      <w:r w:rsidR="00101A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аморегулируемая организация обязана проверять наличие у ее членов лицензии на соответствующие виды деятельности в области использования атомной энергии. Однако, законодательство о градостроительной деятельности включает в себя и законодательство, регулирующее градостроительные отношения при осуществлении определенных видов строительных работ, в частности, устанавливает требования о наличии у члена саморегулируемой организации специального разрешения (лицензии). В таком случае при осуществлении контроля саморегулируемая организация обязана проверить у члена саморегулируемой организации наличие такого специального разрешения (лицензии). При этом саморегулируемая организация не осуществляет контроль за соблюдением членом саморегулируемой организации требований, предъявляемых для получения специального разрешения (лицензии).</w:t>
      </w:r>
    </w:p>
    <w:p w14:paraId="7B1E23D2" w14:textId="77777777" w:rsidR="00A0473F" w:rsidRDefault="00A047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E51162A" w14:textId="77777777" w:rsidR="008B4029" w:rsidRDefault="007C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Научно-консультативной комиссии                  М.В. Федорченко</w:t>
      </w:r>
    </w:p>
    <w:p w14:paraId="17CC323C" w14:textId="77777777" w:rsidR="008B4029" w:rsidRDefault="007C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рабочей группы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В.В. Шевляков</w:t>
      </w:r>
    </w:p>
    <w:p w14:paraId="0FAFEDA2" w14:textId="77777777" w:rsidR="008B4029" w:rsidRDefault="007C5986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Ответственный секретарь                                                           Н.Р. Скакодуб</w:t>
      </w:r>
    </w:p>
    <w:sectPr w:rsidR="008B4029">
      <w:head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B9A0" w14:textId="77777777" w:rsidR="004C7C84" w:rsidRDefault="004C7C84">
      <w:pPr>
        <w:spacing w:after="0" w:line="240" w:lineRule="auto"/>
      </w:pPr>
      <w:r>
        <w:separator/>
      </w:r>
    </w:p>
  </w:endnote>
  <w:endnote w:type="continuationSeparator" w:id="0">
    <w:p w14:paraId="570AE2BB" w14:textId="77777777" w:rsidR="004C7C84" w:rsidRDefault="004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DB7D" w14:textId="77777777" w:rsidR="004C7C84" w:rsidRDefault="004C7C84">
      <w:pPr>
        <w:spacing w:after="0" w:line="240" w:lineRule="auto"/>
      </w:pPr>
      <w:r>
        <w:separator/>
      </w:r>
    </w:p>
  </w:footnote>
  <w:footnote w:type="continuationSeparator" w:id="0">
    <w:p w14:paraId="5F3148F7" w14:textId="77777777" w:rsidR="004C7C84" w:rsidRDefault="004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B917" w14:textId="531A8171" w:rsidR="008B4029" w:rsidRDefault="007C5986">
    <w:pPr>
      <w:pStyle w:val="a4"/>
      <w:tabs>
        <w:tab w:val="clear" w:pos="9355"/>
        <w:tab w:val="right" w:pos="9329"/>
      </w:tabs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249ED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79"/>
    <w:multiLevelType w:val="hybridMultilevel"/>
    <w:tmpl w:val="46547EC6"/>
    <w:styleLink w:val="2"/>
    <w:lvl w:ilvl="0" w:tplc="156C1ECC">
      <w:start w:val="1"/>
      <w:numFmt w:val="decimal"/>
      <w:lvlText w:val="%1)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83736">
      <w:start w:val="1"/>
      <w:numFmt w:val="lowerLetter"/>
      <w:lvlText w:val="%2."/>
      <w:lvlJc w:val="left"/>
      <w:pPr>
        <w:tabs>
          <w:tab w:val="num" w:pos="2496"/>
        </w:tabs>
        <w:ind w:left="1788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E4192">
      <w:start w:val="1"/>
      <w:numFmt w:val="lowerRoman"/>
      <w:lvlText w:val="%3."/>
      <w:lvlJc w:val="left"/>
      <w:pPr>
        <w:tabs>
          <w:tab w:val="num" w:pos="3216"/>
        </w:tabs>
        <w:ind w:left="2508" w:firstLine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60408">
      <w:start w:val="1"/>
      <w:numFmt w:val="decimal"/>
      <w:lvlText w:val="%4."/>
      <w:lvlJc w:val="left"/>
      <w:pPr>
        <w:tabs>
          <w:tab w:val="num" w:pos="3936"/>
        </w:tabs>
        <w:ind w:left="3228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6CFD6">
      <w:start w:val="1"/>
      <w:numFmt w:val="lowerLetter"/>
      <w:lvlText w:val="%5."/>
      <w:lvlJc w:val="left"/>
      <w:pPr>
        <w:tabs>
          <w:tab w:val="num" w:pos="4656"/>
        </w:tabs>
        <w:ind w:left="3948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69B92">
      <w:start w:val="1"/>
      <w:numFmt w:val="lowerRoman"/>
      <w:lvlText w:val="%6."/>
      <w:lvlJc w:val="left"/>
      <w:pPr>
        <w:tabs>
          <w:tab w:val="num" w:pos="5376"/>
        </w:tabs>
        <w:ind w:left="4668" w:firstLine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8F2D0">
      <w:start w:val="1"/>
      <w:numFmt w:val="decimal"/>
      <w:lvlText w:val="%7."/>
      <w:lvlJc w:val="left"/>
      <w:pPr>
        <w:tabs>
          <w:tab w:val="num" w:pos="6096"/>
        </w:tabs>
        <w:ind w:left="5388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C622C8">
      <w:start w:val="1"/>
      <w:numFmt w:val="lowerLetter"/>
      <w:lvlText w:val="%8."/>
      <w:lvlJc w:val="left"/>
      <w:pPr>
        <w:tabs>
          <w:tab w:val="num" w:pos="6816"/>
        </w:tabs>
        <w:ind w:left="6108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49CE0">
      <w:start w:val="1"/>
      <w:numFmt w:val="lowerRoman"/>
      <w:lvlText w:val="%9."/>
      <w:lvlJc w:val="left"/>
      <w:pPr>
        <w:tabs>
          <w:tab w:val="num" w:pos="7536"/>
        </w:tabs>
        <w:ind w:left="6828" w:firstLine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9E2FFD"/>
    <w:multiLevelType w:val="hybridMultilevel"/>
    <w:tmpl w:val="46547EC6"/>
    <w:numStyleLink w:val="2"/>
  </w:abstractNum>
  <w:abstractNum w:abstractNumId="2" w15:restartNumberingAfterBreak="0">
    <w:nsid w:val="320D5032"/>
    <w:multiLevelType w:val="hybridMultilevel"/>
    <w:tmpl w:val="CEA2D13A"/>
    <w:styleLink w:val="1"/>
    <w:lvl w:ilvl="0" w:tplc="35E28742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882C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A6BE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8AA89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EB79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81E4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84CF6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ED136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708942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9E0223"/>
    <w:multiLevelType w:val="hybridMultilevel"/>
    <w:tmpl w:val="52308182"/>
    <w:numStyleLink w:val="3"/>
  </w:abstractNum>
  <w:abstractNum w:abstractNumId="4" w15:restartNumberingAfterBreak="0">
    <w:nsid w:val="64A02B41"/>
    <w:multiLevelType w:val="hybridMultilevel"/>
    <w:tmpl w:val="CEA2D13A"/>
    <w:numStyleLink w:val="1"/>
  </w:abstractNum>
  <w:abstractNum w:abstractNumId="5" w15:restartNumberingAfterBreak="0">
    <w:nsid w:val="72D93C1F"/>
    <w:multiLevelType w:val="hybridMultilevel"/>
    <w:tmpl w:val="52308182"/>
    <w:styleLink w:val="3"/>
    <w:lvl w:ilvl="0" w:tplc="D5B2BE12">
      <w:start w:val="1"/>
      <w:numFmt w:val="bullet"/>
      <w:lvlText w:val="-"/>
      <w:lvlJc w:val="left"/>
      <w:pPr>
        <w:tabs>
          <w:tab w:val="num" w:pos="1416"/>
        </w:tabs>
        <w:ind w:left="348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66A2">
      <w:start w:val="1"/>
      <w:numFmt w:val="bullet"/>
      <w:lvlText w:val="o"/>
      <w:lvlJc w:val="left"/>
      <w:pPr>
        <w:tabs>
          <w:tab w:val="num" w:pos="3216"/>
        </w:tabs>
        <w:ind w:left="2148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C9C7E">
      <w:start w:val="1"/>
      <w:numFmt w:val="bullet"/>
      <w:lvlText w:val="▪"/>
      <w:lvlJc w:val="left"/>
      <w:pPr>
        <w:tabs>
          <w:tab w:val="num" w:pos="3936"/>
        </w:tabs>
        <w:ind w:left="2868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2EF28">
      <w:start w:val="1"/>
      <w:numFmt w:val="bullet"/>
      <w:lvlText w:val="•"/>
      <w:lvlJc w:val="left"/>
      <w:pPr>
        <w:tabs>
          <w:tab w:val="num" w:pos="4656"/>
        </w:tabs>
        <w:ind w:left="3588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26118">
      <w:start w:val="1"/>
      <w:numFmt w:val="bullet"/>
      <w:lvlText w:val="o"/>
      <w:lvlJc w:val="left"/>
      <w:pPr>
        <w:tabs>
          <w:tab w:val="num" w:pos="5376"/>
        </w:tabs>
        <w:ind w:left="4308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6034A">
      <w:start w:val="1"/>
      <w:numFmt w:val="bullet"/>
      <w:lvlText w:val="▪"/>
      <w:lvlJc w:val="left"/>
      <w:pPr>
        <w:tabs>
          <w:tab w:val="num" w:pos="6096"/>
        </w:tabs>
        <w:ind w:left="5028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247A0">
      <w:start w:val="1"/>
      <w:numFmt w:val="bullet"/>
      <w:lvlText w:val="•"/>
      <w:lvlJc w:val="left"/>
      <w:pPr>
        <w:tabs>
          <w:tab w:val="num" w:pos="6816"/>
        </w:tabs>
        <w:ind w:left="5748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45CB2">
      <w:start w:val="1"/>
      <w:numFmt w:val="bullet"/>
      <w:lvlText w:val="o"/>
      <w:lvlJc w:val="left"/>
      <w:pPr>
        <w:tabs>
          <w:tab w:val="num" w:pos="7536"/>
        </w:tabs>
        <w:ind w:left="6468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2416C">
      <w:start w:val="1"/>
      <w:numFmt w:val="bullet"/>
      <w:lvlText w:val="▪"/>
      <w:lvlJc w:val="left"/>
      <w:pPr>
        <w:tabs>
          <w:tab w:val="num" w:pos="8256"/>
        </w:tabs>
        <w:ind w:left="7188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29"/>
    <w:rsid w:val="000A3859"/>
    <w:rsid w:val="000C5062"/>
    <w:rsid w:val="000F31AC"/>
    <w:rsid w:val="000F75DA"/>
    <w:rsid w:val="00101A26"/>
    <w:rsid w:val="00182561"/>
    <w:rsid w:val="004C7C84"/>
    <w:rsid w:val="005255BF"/>
    <w:rsid w:val="0056116D"/>
    <w:rsid w:val="005A53F7"/>
    <w:rsid w:val="006D0E5A"/>
    <w:rsid w:val="007C5986"/>
    <w:rsid w:val="008B4029"/>
    <w:rsid w:val="009C4322"/>
    <w:rsid w:val="00A0473F"/>
    <w:rsid w:val="00A249ED"/>
    <w:rsid w:val="00C117E8"/>
    <w:rsid w:val="00CE231A"/>
    <w:rsid w:val="00D97B88"/>
    <w:rsid w:val="00E1074E"/>
    <w:rsid w:val="00F5270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AE11"/>
  <w15:docId w15:val="{6E450EEC-75DF-493E-9D8C-08ED0D3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character" w:styleId="a7">
    <w:name w:val="annotation reference"/>
    <w:basedOn w:val="a0"/>
    <w:uiPriority w:val="99"/>
    <w:semiHidden/>
    <w:unhideWhenUsed/>
    <w:rsid w:val="000A385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385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3859"/>
    <w:rPr>
      <w:rFonts w:ascii="Calibri" w:eastAsia="Calibri" w:hAnsi="Calibri" w:cs="Calibri"/>
      <w:color w:val="000000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385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3859"/>
    <w:rPr>
      <w:rFonts w:ascii="Calibri" w:eastAsia="Calibri" w:hAnsi="Calibri" w:cs="Calibri"/>
      <w:b/>
      <w:bCs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F5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270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e">
    <w:name w:val="footer"/>
    <w:basedOn w:val="a"/>
    <w:link w:val="af"/>
    <w:uiPriority w:val="99"/>
    <w:unhideWhenUsed/>
    <w:rsid w:val="000C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506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Елена Витальевна</dc:creator>
  <cp:lastModifiedBy>Кольцова Елена Витальевна</cp:lastModifiedBy>
  <cp:revision>2</cp:revision>
  <dcterms:created xsi:type="dcterms:W3CDTF">2021-11-02T10:06:00Z</dcterms:created>
  <dcterms:modified xsi:type="dcterms:W3CDTF">2021-11-02T10:06:00Z</dcterms:modified>
</cp:coreProperties>
</file>