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8D" w:rsidRDefault="008C1F4A" w:rsidP="00AC4989">
      <w:pPr>
        <w:tabs>
          <w:tab w:val="left" w:pos="2790"/>
          <w:tab w:val="center" w:pos="4677"/>
        </w:tabs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AB01AD" w:rsidRPr="00F36C55">
        <w:rPr>
          <w:rFonts w:ascii="Times New Roman" w:hAnsi="Times New Roman" w:cs="Times New Roman"/>
          <w:b/>
          <w:sz w:val="28"/>
          <w:szCs w:val="24"/>
        </w:rPr>
        <w:t xml:space="preserve">работы  </w:t>
      </w:r>
    </w:p>
    <w:p w:rsidR="00AB01AD" w:rsidRPr="00F36C55" w:rsidRDefault="00AB01AD" w:rsidP="00FB5BC9">
      <w:pPr>
        <w:tabs>
          <w:tab w:val="left" w:pos="2790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6C55">
        <w:rPr>
          <w:rFonts w:ascii="Times New Roman" w:hAnsi="Times New Roman" w:cs="Times New Roman"/>
          <w:b/>
          <w:sz w:val="28"/>
          <w:szCs w:val="24"/>
        </w:rPr>
        <w:t>Комитета  по  страхованию</w:t>
      </w:r>
      <w:r w:rsidR="00FA4282">
        <w:rPr>
          <w:rFonts w:ascii="Times New Roman" w:hAnsi="Times New Roman" w:cs="Times New Roman"/>
          <w:b/>
          <w:sz w:val="28"/>
          <w:szCs w:val="24"/>
        </w:rPr>
        <w:t>, охране труда</w:t>
      </w:r>
      <w:r w:rsidR="001D2C9B">
        <w:rPr>
          <w:rFonts w:ascii="Times New Roman" w:hAnsi="Times New Roman" w:cs="Times New Roman"/>
          <w:b/>
          <w:sz w:val="28"/>
          <w:szCs w:val="24"/>
        </w:rPr>
        <w:t xml:space="preserve"> и</w:t>
      </w:r>
      <w:r w:rsidR="00FB5BC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36C55">
        <w:rPr>
          <w:rFonts w:ascii="Times New Roman" w:hAnsi="Times New Roman" w:cs="Times New Roman"/>
          <w:b/>
          <w:sz w:val="28"/>
          <w:szCs w:val="24"/>
        </w:rPr>
        <w:t>ф</w:t>
      </w:r>
      <w:r w:rsidR="007703F0">
        <w:rPr>
          <w:rFonts w:ascii="Times New Roman" w:hAnsi="Times New Roman" w:cs="Times New Roman"/>
          <w:b/>
          <w:sz w:val="28"/>
          <w:szCs w:val="24"/>
        </w:rPr>
        <w:t xml:space="preserve">инансовым  </w:t>
      </w:r>
      <w:r w:rsidR="001D2C9B">
        <w:rPr>
          <w:rFonts w:ascii="Times New Roman" w:hAnsi="Times New Roman" w:cs="Times New Roman"/>
          <w:b/>
          <w:sz w:val="28"/>
          <w:szCs w:val="24"/>
        </w:rPr>
        <w:t>инстр</w:t>
      </w:r>
      <w:r w:rsidR="00F927B5">
        <w:rPr>
          <w:rFonts w:ascii="Times New Roman" w:hAnsi="Times New Roman" w:cs="Times New Roman"/>
          <w:b/>
          <w:sz w:val="28"/>
          <w:szCs w:val="24"/>
        </w:rPr>
        <w:t>ументам строительного рынка на</w:t>
      </w:r>
      <w:r w:rsidR="001D2C9B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AC5AB2">
        <w:rPr>
          <w:rFonts w:ascii="Times New Roman" w:hAnsi="Times New Roman" w:cs="Times New Roman"/>
          <w:b/>
          <w:sz w:val="28"/>
          <w:szCs w:val="24"/>
        </w:rPr>
        <w:t>8</w:t>
      </w:r>
      <w:r w:rsidRPr="00F36C55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AB01AD" w:rsidRPr="00F36C55" w:rsidRDefault="00AB01AD" w:rsidP="00F36C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-459" w:type="dxa"/>
        <w:tblLayout w:type="fixed"/>
        <w:tblLook w:val="04A0"/>
      </w:tblPr>
      <w:tblGrid>
        <w:gridCol w:w="959"/>
        <w:gridCol w:w="6662"/>
        <w:gridCol w:w="2268"/>
      </w:tblGrid>
      <w:tr w:rsidR="00AB01AD" w:rsidRPr="00F36C55" w:rsidTr="00D83A76">
        <w:trPr>
          <w:trHeight w:val="510"/>
        </w:trPr>
        <w:tc>
          <w:tcPr>
            <w:tcW w:w="959" w:type="dxa"/>
          </w:tcPr>
          <w:p w:rsidR="00AB01AD" w:rsidRPr="00F36C55" w:rsidRDefault="00AB01AD" w:rsidP="00F3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C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6C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36C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AB01AD" w:rsidRPr="00F36C55" w:rsidRDefault="00AB01AD" w:rsidP="00F3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268" w:type="dxa"/>
          </w:tcPr>
          <w:p w:rsidR="00AB01AD" w:rsidRPr="00F36C55" w:rsidRDefault="00AB01AD" w:rsidP="00F3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663C1" w:rsidRPr="00F36C55" w:rsidTr="00D83A76">
        <w:trPr>
          <w:trHeight w:val="510"/>
        </w:trPr>
        <w:tc>
          <w:tcPr>
            <w:tcW w:w="959" w:type="dxa"/>
          </w:tcPr>
          <w:p w:rsidR="008663C1" w:rsidRPr="008663C1" w:rsidRDefault="008663C1" w:rsidP="00D83A76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ind w:left="284" w:right="459" w:firstLine="0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63C1" w:rsidRPr="008663C1" w:rsidRDefault="008663C1" w:rsidP="008663C1">
            <w:pPr>
              <w:jc w:val="both"/>
              <w:rPr>
                <w:rStyle w:val="FontStyle25"/>
                <w:sz w:val="24"/>
                <w:szCs w:val="24"/>
              </w:rPr>
            </w:pPr>
            <w:r w:rsidRPr="008663C1">
              <w:rPr>
                <w:rStyle w:val="FontStyle25"/>
                <w:sz w:val="24"/>
                <w:szCs w:val="24"/>
              </w:rPr>
              <w:t>Участие в подготовке законодательных инициатив направленных на совершенствование механизмов обеспечения имущественной ответственности членов саморегулируемых организаций</w:t>
            </w:r>
            <w:r w:rsidR="00AC4989">
              <w:t>, в т.ч.</w:t>
            </w:r>
            <w:r w:rsidR="00AC4989">
              <w:rPr>
                <w:rFonts w:ascii="Times New Roman" w:hAnsi="Times New Roman" w:cs="Times New Roman"/>
                <w:sz w:val="24"/>
                <w:szCs w:val="24"/>
              </w:rPr>
              <w:t xml:space="preserve"> в рабочих группах </w:t>
            </w:r>
            <w:r w:rsidR="00AC4989" w:rsidRPr="00D11F8D">
              <w:rPr>
                <w:rFonts w:ascii="Times New Roman" w:hAnsi="Times New Roman" w:cs="Times New Roman"/>
                <w:sz w:val="24"/>
                <w:szCs w:val="24"/>
              </w:rPr>
              <w:t xml:space="preserve">НОСТРОЙ по </w:t>
            </w:r>
            <w:r w:rsidR="00AC49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проектов </w:t>
            </w:r>
            <w:r w:rsidR="00AC4989" w:rsidRPr="00D11F8D">
              <w:rPr>
                <w:rFonts w:ascii="Times New Roman" w:hAnsi="Times New Roman" w:cs="Times New Roman"/>
                <w:sz w:val="24"/>
                <w:szCs w:val="24"/>
              </w:rPr>
              <w:t>изменений в законодательство  РФ.</w:t>
            </w:r>
            <w:r w:rsidRPr="008663C1">
              <w:rPr>
                <w:rStyle w:val="FontStyle2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663C1" w:rsidRPr="00F36C55" w:rsidRDefault="00882916" w:rsidP="00F3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4989" w:rsidRPr="00F36C55" w:rsidTr="00D83A76">
        <w:trPr>
          <w:trHeight w:val="510"/>
        </w:trPr>
        <w:tc>
          <w:tcPr>
            <w:tcW w:w="959" w:type="dxa"/>
          </w:tcPr>
          <w:p w:rsidR="00AC4989" w:rsidRPr="008663C1" w:rsidRDefault="00AC4989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4989" w:rsidRPr="008663C1" w:rsidRDefault="00AC4989" w:rsidP="008663C1">
            <w:pPr>
              <w:jc w:val="both"/>
              <w:rPr>
                <w:rStyle w:val="FontStyle25"/>
                <w:sz w:val="24"/>
                <w:szCs w:val="24"/>
              </w:rPr>
            </w:pPr>
            <w:r w:rsidRPr="008663C1">
              <w:rPr>
                <w:rStyle w:val="FontStyle25"/>
                <w:sz w:val="24"/>
                <w:szCs w:val="24"/>
              </w:rPr>
              <w:t>Экспертиза законодательных инициатив по профилю деятельности</w:t>
            </w:r>
            <w:r>
              <w:rPr>
                <w:rStyle w:val="FontStyle25"/>
                <w:sz w:val="24"/>
                <w:szCs w:val="24"/>
              </w:rPr>
              <w:t xml:space="preserve"> Комитета.</w:t>
            </w:r>
          </w:p>
        </w:tc>
        <w:tc>
          <w:tcPr>
            <w:tcW w:w="2268" w:type="dxa"/>
          </w:tcPr>
          <w:p w:rsidR="00AC4989" w:rsidRPr="00F36C55" w:rsidRDefault="007939CE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2916" w:rsidRPr="00F36C55" w:rsidTr="00D83A76">
        <w:trPr>
          <w:trHeight w:val="510"/>
        </w:trPr>
        <w:tc>
          <w:tcPr>
            <w:tcW w:w="959" w:type="dxa"/>
          </w:tcPr>
          <w:p w:rsidR="00882916" w:rsidRPr="008663C1" w:rsidRDefault="00882916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662" w:type="dxa"/>
          </w:tcPr>
          <w:p w:rsidR="00882916" w:rsidRPr="008663C1" w:rsidRDefault="00882916" w:rsidP="00D9140F">
            <w:pPr>
              <w:jc w:val="both"/>
              <w:rPr>
                <w:rStyle w:val="FontStyle25"/>
                <w:sz w:val="24"/>
                <w:szCs w:val="24"/>
              </w:rPr>
            </w:pPr>
            <w:r w:rsidRPr="00882916">
              <w:rPr>
                <w:rStyle w:val="FontStyle25"/>
                <w:sz w:val="24"/>
                <w:szCs w:val="24"/>
              </w:rPr>
              <w:t>Разраб</w:t>
            </w:r>
            <w:r w:rsidR="00D9140F">
              <w:rPr>
                <w:rStyle w:val="FontStyle25"/>
                <w:sz w:val="24"/>
                <w:szCs w:val="24"/>
              </w:rPr>
              <w:t xml:space="preserve">отка, экспертиза </w:t>
            </w:r>
            <w:r w:rsidRPr="00882916">
              <w:rPr>
                <w:rStyle w:val="FontStyle25"/>
                <w:sz w:val="24"/>
                <w:szCs w:val="24"/>
              </w:rPr>
              <w:t xml:space="preserve">проектов законодательных, </w:t>
            </w:r>
            <w:r w:rsidR="00874CA1">
              <w:rPr>
                <w:rStyle w:val="FontStyle25"/>
                <w:sz w:val="24"/>
                <w:szCs w:val="24"/>
              </w:rPr>
              <w:t xml:space="preserve">иных </w:t>
            </w:r>
            <w:r w:rsidRPr="00882916">
              <w:rPr>
                <w:rStyle w:val="FontStyle25"/>
                <w:sz w:val="24"/>
                <w:szCs w:val="24"/>
              </w:rPr>
              <w:t>нормативных правовых</w:t>
            </w:r>
            <w:r w:rsidR="00874CA1">
              <w:rPr>
                <w:rStyle w:val="FontStyle25"/>
                <w:sz w:val="24"/>
                <w:szCs w:val="24"/>
              </w:rPr>
              <w:t>,</w:t>
            </w:r>
            <w:r w:rsidRPr="00882916">
              <w:rPr>
                <w:rStyle w:val="FontStyle25"/>
                <w:sz w:val="24"/>
                <w:szCs w:val="24"/>
              </w:rPr>
              <w:t xml:space="preserve"> норм</w:t>
            </w:r>
            <w:r w:rsidR="00D9140F">
              <w:rPr>
                <w:rStyle w:val="FontStyle25"/>
                <w:sz w:val="24"/>
                <w:szCs w:val="24"/>
              </w:rPr>
              <w:t xml:space="preserve">ативно – технических </w:t>
            </w:r>
            <w:r w:rsidR="00874CA1">
              <w:rPr>
                <w:rStyle w:val="FontStyle25"/>
                <w:sz w:val="24"/>
                <w:szCs w:val="24"/>
              </w:rPr>
              <w:t xml:space="preserve">и нормативных локальных </w:t>
            </w:r>
            <w:r w:rsidR="00D9140F">
              <w:rPr>
                <w:rStyle w:val="FontStyle25"/>
                <w:sz w:val="24"/>
                <w:szCs w:val="24"/>
              </w:rPr>
              <w:t xml:space="preserve">документов, в том числе разработка, </w:t>
            </w:r>
            <w:r w:rsidRPr="00882916">
              <w:rPr>
                <w:rStyle w:val="FontStyle25"/>
                <w:sz w:val="24"/>
                <w:szCs w:val="24"/>
              </w:rPr>
              <w:t>утверждение</w:t>
            </w:r>
            <w:r w:rsidR="00D9140F">
              <w:rPr>
                <w:rStyle w:val="FontStyle25"/>
                <w:sz w:val="24"/>
                <w:szCs w:val="24"/>
              </w:rPr>
              <w:t xml:space="preserve"> и актуализация </w:t>
            </w:r>
            <w:r w:rsidRPr="00882916">
              <w:rPr>
                <w:rStyle w:val="FontStyle25"/>
                <w:sz w:val="24"/>
                <w:szCs w:val="24"/>
              </w:rPr>
              <w:t xml:space="preserve">нормативных и методических документов </w:t>
            </w:r>
            <w:r w:rsidR="00D9140F">
              <w:rPr>
                <w:rStyle w:val="FontStyle25"/>
                <w:sz w:val="24"/>
                <w:szCs w:val="24"/>
              </w:rPr>
              <w:t>НОСТРОЙ</w:t>
            </w:r>
            <w:r w:rsidR="0041153B">
              <w:rPr>
                <w:rStyle w:val="FontStyle25"/>
                <w:sz w:val="24"/>
                <w:szCs w:val="24"/>
              </w:rPr>
              <w:t xml:space="preserve"> по профилю деятельности Комитета</w:t>
            </w:r>
            <w:r w:rsidR="00D9140F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82916" w:rsidRPr="00F36C55" w:rsidRDefault="00882916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939CE" w:rsidRPr="00F36C55" w:rsidTr="00D83A76">
        <w:trPr>
          <w:trHeight w:val="510"/>
        </w:trPr>
        <w:tc>
          <w:tcPr>
            <w:tcW w:w="959" w:type="dxa"/>
          </w:tcPr>
          <w:p w:rsidR="007939CE" w:rsidRPr="008663C1" w:rsidRDefault="007939CE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662" w:type="dxa"/>
          </w:tcPr>
          <w:p w:rsidR="007939CE" w:rsidRPr="00882916" w:rsidRDefault="007939CE" w:rsidP="00D9140F">
            <w:pPr>
              <w:jc w:val="both"/>
              <w:rPr>
                <w:rStyle w:val="FontStyle25"/>
                <w:sz w:val="24"/>
                <w:szCs w:val="24"/>
              </w:rPr>
            </w:pPr>
            <w:r w:rsidRPr="00F36C55">
              <w:rPr>
                <w:rStyle w:val="FontStyle25"/>
                <w:sz w:val="24"/>
                <w:szCs w:val="24"/>
              </w:rPr>
              <w:t>Проведение семинаров, круглых столов,</w:t>
            </w:r>
            <w:r>
              <w:rPr>
                <w:rStyle w:val="FontStyle25"/>
                <w:sz w:val="24"/>
                <w:szCs w:val="24"/>
              </w:rPr>
              <w:t xml:space="preserve"> конференций, </w:t>
            </w:r>
            <w:r w:rsidRPr="0009019C">
              <w:rPr>
                <w:rStyle w:val="FontStyle25"/>
                <w:sz w:val="24"/>
                <w:szCs w:val="24"/>
              </w:rPr>
              <w:t xml:space="preserve"> </w:t>
            </w:r>
            <w:r>
              <w:rPr>
                <w:rStyle w:val="FontStyle25"/>
                <w:sz w:val="24"/>
                <w:szCs w:val="24"/>
              </w:rPr>
              <w:t>в</w:t>
            </w:r>
            <w:r w:rsidRPr="00F36C55">
              <w:rPr>
                <w:rStyle w:val="FontStyle25"/>
                <w:sz w:val="24"/>
                <w:szCs w:val="24"/>
              </w:rPr>
              <w:t>ыступление в</w:t>
            </w:r>
            <w:r>
              <w:rPr>
                <w:rStyle w:val="FontStyle25"/>
                <w:sz w:val="24"/>
                <w:szCs w:val="24"/>
              </w:rPr>
              <w:t xml:space="preserve"> средствах массовой информации.</w:t>
            </w:r>
            <w:r w:rsidRPr="0009019C">
              <w:rPr>
                <w:rStyle w:val="FontStyle25"/>
                <w:sz w:val="24"/>
                <w:szCs w:val="24"/>
              </w:rPr>
              <w:t xml:space="preserve"> </w:t>
            </w:r>
            <w:r w:rsidRPr="008F6693">
              <w:rPr>
                <w:rStyle w:val="FontStyle25"/>
                <w:sz w:val="24"/>
                <w:szCs w:val="24"/>
              </w:rPr>
              <w:t>Участие в мероприятиях по тематике Комитета в профильных организациях.</w:t>
            </w:r>
          </w:p>
        </w:tc>
        <w:tc>
          <w:tcPr>
            <w:tcW w:w="2268" w:type="dxa"/>
          </w:tcPr>
          <w:p w:rsidR="007939CE" w:rsidRPr="00F36C55" w:rsidRDefault="007939CE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2863" w:rsidRPr="00F36C55" w:rsidTr="00D83A76">
        <w:trPr>
          <w:trHeight w:val="510"/>
        </w:trPr>
        <w:tc>
          <w:tcPr>
            <w:tcW w:w="959" w:type="dxa"/>
          </w:tcPr>
          <w:p w:rsidR="000E2863" w:rsidRPr="008663C1" w:rsidRDefault="000E2863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2863" w:rsidRPr="00F36C55" w:rsidRDefault="000E2863" w:rsidP="00D9140F">
            <w:pPr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D11F8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ставителей Комитета в окружных конференциях членов НОСТРОЙ и Всероссийских съездах саморегулируемых организаций, основанных на членстве лиц, осуществляющих строительство,</w:t>
            </w:r>
            <w:r w:rsidRPr="00D11F8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в повестку дня об </w:t>
            </w:r>
            <w:r w:rsidRPr="00D11F8D">
              <w:rPr>
                <w:rFonts w:ascii="Times New Roman" w:hAnsi="Times New Roman" w:cs="Times New Roman"/>
                <w:sz w:val="24"/>
                <w:szCs w:val="24"/>
              </w:rPr>
              <w:t>актуальных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11F8D">
              <w:rPr>
                <w:rFonts w:ascii="Times New Roman" w:hAnsi="Times New Roman" w:cs="Times New Roman"/>
                <w:sz w:val="24"/>
                <w:szCs w:val="24"/>
              </w:rPr>
              <w:t xml:space="preserve"> по страхованию.</w:t>
            </w:r>
          </w:p>
        </w:tc>
        <w:tc>
          <w:tcPr>
            <w:tcW w:w="2268" w:type="dxa"/>
          </w:tcPr>
          <w:p w:rsidR="000E2863" w:rsidRPr="00F36C55" w:rsidRDefault="000E2863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2916" w:rsidRPr="00F36C55" w:rsidTr="00D83A76">
        <w:trPr>
          <w:trHeight w:val="510"/>
        </w:trPr>
        <w:tc>
          <w:tcPr>
            <w:tcW w:w="959" w:type="dxa"/>
          </w:tcPr>
          <w:p w:rsidR="00882916" w:rsidRPr="008663C1" w:rsidRDefault="00882916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662" w:type="dxa"/>
          </w:tcPr>
          <w:p w:rsidR="00882916" w:rsidRPr="00882916" w:rsidRDefault="00882916" w:rsidP="004865AF">
            <w:pPr>
              <w:jc w:val="both"/>
              <w:rPr>
                <w:rStyle w:val="FontStyle25"/>
                <w:sz w:val="24"/>
                <w:szCs w:val="24"/>
              </w:rPr>
            </w:pPr>
            <w:r w:rsidRPr="00882916">
              <w:rPr>
                <w:rStyle w:val="FontStyle25"/>
                <w:sz w:val="24"/>
                <w:szCs w:val="24"/>
              </w:rPr>
              <w:t>Публикация информационных материалов в средствах массовой информации о проведенных мероприятиях и разработанных документах по профилю деятельности комитета</w:t>
            </w:r>
            <w:r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82916" w:rsidRPr="00F36C55" w:rsidRDefault="00882916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2916" w:rsidRPr="00F36C55" w:rsidTr="00D83A76">
        <w:trPr>
          <w:trHeight w:val="510"/>
        </w:trPr>
        <w:tc>
          <w:tcPr>
            <w:tcW w:w="959" w:type="dxa"/>
          </w:tcPr>
          <w:p w:rsidR="00882916" w:rsidRPr="008663C1" w:rsidRDefault="00882916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662" w:type="dxa"/>
          </w:tcPr>
          <w:p w:rsidR="00882916" w:rsidRPr="00882916" w:rsidRDefault="00882916" w:rsidP="00F927B5">
            <w:pPr>
              <w:jc w:val="both"/>
              <w:rPr>
                <w:rStyle w:val="FontStyle25"/>
                <w:sz w:val="24"/>
                <w:szCs w:val="24"/>
              </w:rPr>
            </w:pPr>
            <w:r w:rsidRPr="00882916">
              <w:rPr>
                <w:rStyle w:val="FontStyle25"/>
                <w:sz w:val="24"/>
                <w:szCs w:val="24"/>
              </w:rPr>
              <w:t>Актуализация механизмов защиты</w:t>
            </w:r>
            <w:r w:rsidR="00D1281A">
              <w:rPr>
                <w:rStyle w:val="FontStyle25"/>
                <w:sz w:val="24"/>
                <w:szCs w:val="24"/>
              </w:rPr>
              <w:t xml:space="preserve"> средств компенсационного фонда </w:t>
            </w:r>
            <w:r w:rsidRPr="00882916">
              <w:rPr>
                <w:rStyle w:val="FontStyle25"/>
                <w:sz w:val="24"/>
                <w:szCs w:val="24"/>
              </w:rPr>
              <w:t>от риска утраты вследствие негативных обстоятельств,</w:t>
            </w:r>
            <w:r w:rsidR="00D1281A">
              <w:rPr>
                <w:rStyle w:val="FontStyle25"/>
                <w:sz w:val="24"/>
                <w:szCs w:val="24"/>
              </w:rPr>
              <w:t xml:space="preserve"> связанных с их размещением.</w:t>
            </w:r>
          </w:p>
        </w:tc>
        <w:tc>
          <w:tcPr>
            <w:tcW w:w="2268" w:type="dxa"/>
          </w:tcPr>
          <w:p w:rsidR="00882916" w:rsidRPr="00F36C55" w:rsidRDefault="00882916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7B5" w:rsidRPr="00F36C55" w:rsidTr="00D83A76">
        <w:trPr>
          <w:trHeight w:val="510"/>
        </w:trPr>
        <w:tc>
          <w:tcPr>
            <w:tcW w:w="959" w:type="dxa"/>
          </w:tcPr>
          <w:p w:rsidR="00F927B5" w:rsidRPr="008663C1" w:rsidRDefault="00F927B5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662" w:type="dxa"/>
          </w:tcPr>
          <w:p w:rsidR="00F927B5" w:rsidRPr="00882916" w:rsidRDefault="00F927B5" w:rsidP="00F927B5">
            <w:pPr>
              <w:jc w:val="both"/>
              <w:rPr>
                <w:rStyle w:val="FontStyle25"/>
                <w:sz w:val="24"/>
                <w:szCs w:val="24"/>
              </w:rPr>
            </w:pPr>
            <w:r w:rsidRPr="00F927B5">
              <w:rPr>
                <w:rStyle w:val="FontStyle25"/>
                <w:sz w:val="24"/>
                <w:szCs w:val="24"/>
              </w:rPr>
              <w:t xml:space="preserve">Определение перечня критериев для  организаций, осуществляющих строительство, определяющих степень риска наступления ответственности за </w:t>
            </w:r>
            <w:r>
              <w:rPr>
                <w:rStyle w:val="FontStyle25"/>
                <w:sz w:val="24"/>
                <w:szCs w:val="24"/>
              </w:rPr>
              <w:t xml:space="preserve">нарушение </w:t>
            </w:r>
            <w:r w:rsidRPr="00F927B5">
              <w:rPr>
                <w:rStyle w:val="FontStyle25"/>
                <w:sz w:val="24"/>
                <w:szCs w:val="24"/>
              </w:rPr>
              <w:t xml:space="preserve">условий договора строительного подряда, заключенного с использованием конкурентных способов заключения договоров, а также </w:t>
            </w:r>
            <w:r>
              <w:rPr>
                <w:rStyle w:val="FontStyle25"/>
                <w:sz w:val="24"/>
                <w:szCs w:val="24"/>
              </w:rPr>
              <w:t xml:space="preserve">степень </w:t>
            </w:r>
            <w:r w:rsidRPr="00F927B5">
              <w:rPr>
                <w:rStyle w:val="FontStyle25"/>
                <w:sz w:val="24"/>
                <w:szCs w:val="24"/>
              </w:rPr>
              <w:t xml:space="preserve">финансовых рисков </w:t>
            </w:r>
            <w:r>
              <w:rPr>
                <w:rStyle w:val="FontStyle25"/>
                <w:sz w:val="24"/>
                <w:szCs w:val="24"/>
              </w:rPr>
              <w:t>этих организаций</w:t>
            </w:r>
            <w:r w:rsidRPr="00F927B5">
              <w:rPr>
                <w:rStyle w:val="FontStyle25"/>
                <w:sz w:val="24"/>
                <w:szCs w:val="24"/>
              </w:rPr>
              <w:t>, возникающих вследствие неисполнения или ненадлежащего исполнения  договора строительного подряда, заключенного с использованием конкурентных способов заключения договоров</w:t>
            </w:r>
          </w:p>
        </w:tc>
        <w:tc>
          <w:tcPr>
            <w:tcW w:w="2268" w:type="dxa"/>
          </w:tcPr>
          <w:p w:rsidR="00F927B5" w:rsidRPr="00F36C55" w:rsidRDefault="00F927B5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84722" w:rsidRPr="00F36C55" w:rsidTr="00D83A76">
        <w:trPr>
          <w:trHeight w:val="834"/>
        </w:trPr>
        <w:tc>
          <w:tcPr>
            <w:tcW w:w="959" w:type="dxa"/>
          </w:tcPr>
          <w:p w:rsidR="00B84722" w:rsidRPr="00BC6445" w:rsidRDefault="00B84722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BC6445" w:rsidRPr="00BC6445" w:rsidRDefault="006D4B1D" w:rsidP="00BC6445">
            <w:pPr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6</w:t>
            </w:r>
            <w:r w:rsidR="00BC6445">
              <w:rPr>
                <w:rStyle w:val="FontStyle25"/>
                <w:sz w:val="24"/>
                <w:szCs w:val="24"/>
              </w:rPr>
              <w:t>.</w:t>
            </w:r>
            <w:r w:rsidR="00BC6445" w:rsidRPr="00BC6445">
              <w:rPr>
                <w:rStyle w:val="FontStyle25"/>
                <w:sz w:val="24"/>
                <w:szCs w:val="24"/>
              </w:rPr>
              <w:t xml:space="preserve">1. </w:t>
            </w:r>
            <w:r w:rsidR="008C1E7F" w:rsidRPr="00F36C55">
              <w:rPr>
                <w:rStyle w:val="FontStyle25"/>
                <w:sz w:val="24"/>
                <w:szCs w:val="24"/>
              </w:rPr>
              <w:t xml:space="preserve">Участие в мероприятиях, организуемых </w:t>
            </w:r>
            <w:proofErr w:type="spellStart"/>
            <w:r w:rsidR="008C1E7F" w:rsidRPr="00F36C55">
              <w:rPr>
                <w:rStyle w:val="FontStyle25"/>
                <w:sz w:val="24"/>
                <w:szCs w:val="24"/>
              </w:rPr>
              <w:t>Ростехнадзором</w:t>
            </w:r>
            <w:proofErr w:type="spellEnd"/>
            <w:r w:rsidR="008C1E7F" w:rsidRPr="00F36C55">
              <w:rPr>
                <w:rStyle w:val="FontStyle25"/>
                <w:sz w:val="24"/>
                <w:szCs w:val="24"/>
              </w:rPr>
              <w:t>, Федеральным аг</w:t>
            </w:r>
            <w:r w:rsidR="00DD5F49">
              <w:rPr>
                <w:rStyle w:val="FontStyle25"/>
                <w:sz w:val="24"/>
                <w:szCs w:val="24"/>
              </w:rPr>
              <w:t>ентством по строительству и ЖКХ</w:t>
            </w:r>
            <w:r w:rsidR="008C1E7F" w:rsidRPr="00F36C55">
              <w:rPr>
                <w:rStyle w:val="FontStyle25"/>
                <w:sz w:val="24"/>
                <w:szCs w:val="24"/>
              </w:rPr>
              <w:t xml:space="preserve">, Всероссийским союзом страховщиков, Федеральной антимонопольной службой, </w:t>
            </w:r>
            <w:proofErr w:type="spellStart"/>
            <w:r w:rsidR="008C1E7F" w:rsidRPr="00F36C55">
              <w:rPr>
                <w:rStyle w:val="FontStyle25"/>
                <w:sz w:val="24"/>
                <w:szCs w:val="24"/>
              </w:rPr>
              <w:t>Росстрахназдором</w:t>
            </w:r>
            <w:proofErr w:type="spellEnd"/>
            <w:r w:rsidR="008C1E7F" w:rsidRPr="00F36C55">
              <w:rPr>
                <w:rStyle w:val="FontStyle25"/>
                <w:sz w:val="24"/>
                <w:szCs w:val="24"/>
              </w:rPr>
              <w:t xml:space="preserve">, </w:t>
            </w:r>
            <w:proofErr w:type="spellStart"/>
            <w:r w:rsidR="008C1E7F" w:rsidRPr="00F36C55">
              <w:rPr>
                <w:rStyle w:val="FontStyle25"/>
                <w:sz w:val="24"/>
                <w:szCs w:val="24"/>
              </w:rPr>
              <w:t>Минрегионом</w:t>
            </w:r>
            <w:proofErr w:type="spellEnd"/>
            <w:r w:rsidR="008C1E7F" w:rsidRPr="00F36C55">
              <w:rPr>
                <w:rStyle w:val="FontStyle25"/>
                <w:sz w:val="24"/>
                <w:szCs w:val="24"/>
              </w:rPr>
              <w:t xml:space="preserve"> России</w:t>
            </w:r>
            <w:r w:rsidR="00B86A05">
              <w:rPr>
                <w:rStyle w:val="FontStyle25"/>
                <w:sz w:val="24"/>
                <w:szCs w:val="24"/>
              </w:rPr>
              <w:t>.</w:t>
            </w:r>
            <w:r w:rsidR="00BC6445" w:rsidRPr="00BC6445">
              <w:rPr>
                <w:rStyle w:val="FontStyle25"/>
                <w:sz w:val="24"/>
                <w:szCs w:val="24"/>
              </w:rPr>
              <w:t xml:space="preserve"> </w:t>
            </w:r>
          </w:p>
          <w:p w:rsidR="00B84722" w:rsidRPr="00BC6445" w:rsidRDefault="006D4B1D" w:rsidP="0053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6445"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.2. Организация взаимодействия между Национальным объединением строителей, Федеральной службой по труду и занятости и Государственной инспекцией по труду по обмену информацией о случаях причинения вреда здоровью </w:t>
            </w:r>
            <w:r w:rsidR="00BC6445" w:rsidRPr="0053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вследствие разрушения, повреждения объекта капитального строительства, нарушения требований безопасности при строительстве такого объекта.</w:t>
            </w:r>
          </w:p>
        </w:tc>
        <w:tc>
          <w:tcPr>
            <w:tcW w:w="2268" w:type="dxa"/>
          </w:tcPr>
          <w:p w:rsidR="00B84722" w:rsidRPr="00F36C55" w:rsidRDefault="008C1E7F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84722" w:rsidRPr="00F36C55" w:rsidTr="00D83A76">
        <w:trPr>
          <w:trHeight w:val="560"/>
        </w:trPr>
        <w:tc>
          <w:tcPr>
            <w:tcW w:w="959" w:type="dxa"/>
          </w:tcPr>
          <w:p w:rsidR="00B84722" w:rsidRPr="00F36C55" w:rsidRDefault="00B84722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841C3" w:rsidRPr="009E7D0D" w:rsidRDefault="00CA1014" w:rsidP="003137F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41C3" w:rsidRPr="00F36C55">
              <w:rPr>
                <w:rFonts w:ascii="Times New Roman" w:hAnsi="Times New Roman" w:cs="Times New Roman"/>
                <w:sz w:val="24"/>
                <w:szCs w:val="24"/>
              </w:rPr>
              <w:t>омплексный мониторинг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D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способов обеспечения имущественной ответственности</w:t>
            </w:r>
            <w:r w:rsidR="003841C3" w:rsidRPr="00F36C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1C3" w:rsidRPr="00F36C55" w:rsidRDefault="00A430B7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841C3"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Компенсационны</w:t>
            </w:r>
            <w:r w:rsidR="00AC49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41C3"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AC49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841C3" w:rsidRPr="00F36C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1C3" w:rsidRPr="00F36C55" w:rsidRDefault="003841C3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- выплаты из средств компенсационн</w:t>
            </w:r>
            <w:r w:rsidR="00AC498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41153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(количество, средняя пропорция выплаты к размеру компенсационного фонда)</w:t>
            </w:r>
            <w:r w:rsidR="00A43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1C3" w:rsidRPr="00F36C55" w:rsidRDefault="003841C3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- факты утраты средств компенсационн</w:t>
            </w:r>
            <w:r w:rsidR="00AC498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41153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(причины, последствия, обстоятельства)</w:t>
            </w:r>
            <w:r w:rsidR="00A43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1C3" w:rsidRPr="00F36C55" w:rsidRDefault="003841C3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- претензии налоговых или проверяющих органов к СРО </w:t>
            </w:r>
            <w:r w:rsidR="009E7D0D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размещения, обслуживания, использования или формирования компенсационн</w:t>
            </w:r>
            <w:r w:rsidR="00AC498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AC498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1C3" w:rsidRPr="00F36C55" w:rsidRDefault="009E7D0D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3841C3" w:rsidRPr="00F36C55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  <w:p w:rsidR="003841C3" w:rsidRPr="00F36C55" w:rsidRDefault="009E7D0D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соотношение СРО, </w:t>
            </w:r>
            <w:r w:rsidR="003841C3" w:rsidRPr="00F36C55">
              <w:rPr>
                <w:rFonts w:ascii="Times New Roman" w:hAnsi="Times New Roman" w:cs="Times New Roman"/>
                <w:sz w:val="24"/>
                <w:szCs w:val="24"/>
              </w:rPr>
              <w:t>применяющих и не применяющих страхование, практическая оценка преимуществ;</w:t>
            </w:r>
          </w:p>
          <w:p w:rsidR="003841C3" w:rsidRPr="00F36C55" w:rsidRDefault="003841C3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- реализация страховой защиты (количество страховых случаев, размер выплат, соотношение размера причиненного вреда и его части покрытой страховым возмещением);</w:t>
            </w:r>
          </w:p>
          <w:p w:rsidR="003841C3" w:rsidRPr="00F36C55" w:rsidRDefault="003841C3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- применение СРО методических документов по страхованию: применение унифицированных форм, применение отдельных положений унифицированных форм и методических документов;</w:t>
            </w:r>
          </w:p>
          <w:p w:rsidR="003841C3" w:rsidRPr="00F36C55" w:rsidRDefault="003841C3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- объем страхового покрытия, применяемого страховыми организациями: исключения, страховщики регредиенто</w:t>
            </w:r>
            <w:r w:rsidR="00B86A05">
              <w:rPr>
                <w:rFonts w:ascii="Times New Roman" w:hAnsi="Times New Roman" w:cs="Times New Roman"/>
                <w:sz w:val="24"/>
                <w:szCs w:val="24"/>
              </w:rPr>
              <w:t>в, вред работникам страхователя;</w:t>
            </w:r>
          </w:p>
          <w:p w:rsidR="00B12DA7" w:rsidRPr="00F36C55" w:rsidRDefault="003841C3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- отказы в страховой выплате: вид события, причины отказа, последствия.</w:t>
            </w:r>
          </w:p>
        </w:tc>
        <w:tc>
          <w:tcPr>
            <w:tcW w:w="2268" w:type="dxa"/>
          </w:tcPr>
          <w:p w:rsidR="00B84722" w:rsidRPr="00F36C55" w:rsidRDefault="00032AAC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674A4" w:rsidRPr="00F36C55" w:rsidTr="00D83A76">
        <w:trPr>
          <w:trHeight w:val="560"/>
        </w:trPr>
        <w:tc>
          <w:tcPr>
            <w:tcW w:w="959" w:type="dxa"/>
          </w:tcPr>
          <w:p w:rsidR="006674A4" w:rsidRPr="00F36C55" w:rsidRDefault="006674A4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674A4" w:rsidRDefault="00BF7E2F" w:rsidP="00BF7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с согласовании проекта внутреннего стандарта Всероссийского союза страховщиков «</w:t>
            </w: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Стандарт страхования риска ответственности за нарушение членами саморегулируемой организации условий договора подряда на выполнение инженерных изысканий, на подготовку проектной документации, договора строительного подряда, заключенных с использованием конкурентных способов заключения договоров, и финансовых рисков, возникающих вследствие неисполнения или ненадлежащего исполнения договора подряда, заключенного с использованием конкурентных способов заключения договоров»</w:t>
            </w:r>
            <w:r w:rsidR="0046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6674A4" w:rsidRDefault="006674A4" w:rsidP="0066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0000" w:rsidRDefault="00D8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E2F" w:rsidRPr="00F36C55" w:rsidTr="00D83A76">
        <w:trPr>
          <w:trHeight w:val="560"/>
        </w:trPr>
        <w:tc>
          <w:tcPr>
            <w:tcW w:w="959" w:type="dxa"/>
          </w:tcPr>
          <w:p w:rsidR="00BF7E2F" w:rsidRPr="00F36C55" w:rsidRDefault="00BF7E2F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7E2F" w:rsidRDefault="0041153B" w:rsidP="00BF7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унифицированных документов НОСТРОЙ </w:t>
            </w:r>
            <w:r w:rsidR="00462F9F">
              <w:rPr>
                <w:rFonts w:ascii="Times New Roman" w:hAnsi="Times New Roman" w:cs="Times New Roman"/>
                <w:sz w:val="24"/>
                <w:szCs w:val="24"/>
              </w:rPr>
              <w:t>по страхованию</w:t>
            </w:r>
            <w:r w:rsidR="00462F9F" w:rsidRPr="00BF7E2F">
              <w:rPr>
                <w:rFonts w:ascii="Times New Roman" w:hAnsi="Times New Roman" w:cs="Times New Roman"/>
                <w:sz w:val="24"/>
                <w:szCs w:val="24"/>
              </w:rPr>
              <w:t xml:space="preserve"> риска ответственности за нарушение членами саморегулируе</w:t>
            </w:r>
            <w:r w:rsidR="00462F9F">
              <w:rPr>
                <w:rFonts w:ascii="Times New Roman" w:hAnsi="Times New Roman" w:cs="Times New Roman"/>
                <w:sz w:val="24"/>
                <w:szCs w:val="24"/>
              </w:rPr>
              <w:t>мой организации условий договоров</w:t>
            </w:r>
            <w:r w:rsidR="00462F9F" w:rsidRPr="00BF7E2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подряда, заключенных с использованием конкурентных способов заключения договоров</w:t>
            </w:r>
            <w:r w:rsidR="00462F9F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разработки и утверждения Всероссийским союзом страховщиков внутреннего стандарта – п. 11</w:t>
            </w:r>
            <w:r w:rsidR="000833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7E2F" w:rsidRPr="00F36C55" w:rsidRDefault="00BF7E2F" w:rsidP="00BF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017B5" w:rsidRPr="00F36C55" w:rsidTr="00D83A76">
        <w:trPr>
          <w:trHeight w:val="550"/>
        </w:trPr>
        <w:tc>
          <w:tcPr>
            <w:tcW w:w="959" w:type="dxa"/>
          </w:tcPr>
          <w:p w:rsidR="002017B5" w:rsidRPr="00BC6445" w:rsidRDefault="002017B5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017B5" w:rsidRPr="00530641" w:rsidRDefault="00F927B5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17B5" w:rsidRPr="00530641">
              <w:rPr>
                <w:rFonts w:ascii="Times New Roman" w:hAnsi="Times New Roman" w:cs="Times New Roman"/>
                <w:sz w:val="24"/>
                <w:szCs w:val="24"/>
              </w:rPr>
              <w:t>недрение единой справочно-информационной системы по охране труда - электронного ресурса о несчастных случаях на производстве, фактах нарушения законодательства в сфере трудовых отношений, а также принимаемых мерах для устранения на</w:t>
            </w:r>
            <w:bookmarkStart w:id="0" w:name="_GoBack"/>
            <w:bookmarkEnd w:id="0"/>
            <w:r w:rsidR="002017B5" w:rsidRPr="00530641">
              <w:rPr>
                <w:rFonts w:ascii="Times New Roman" w:hAnsi="Times New Roman" w:cs="Times New Roman"/>
                <w:sz w:val="24"/>
                <w:szCs w:val="24"/>
              </w:rPr>
              <w:t>руш</w:t>
            </w:r>
            <w:r w:rsidR="00BC5DCE" w:rsidRPr="00530641">
              <w:rPr>
                <w:rFonts w:ascii="Times New Roman" w:hAnsi="Times New Roman" w:cs="Times New Roman"/>
                <w:sz w:val="24"/>
                <w:szCs w:val="24"/>
              </w:rPr>
              <w:t>ений трудового законодательства:</w:t>
            </w:r>
          </w:p>
          <w:p w:rsidR="00BC5DCE" w:rsidRPr="00530641" w:rsidRDefault="00BC5DCE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Департаментом </w:t>
            </w:r>
            <w:r w:rsidR="006C576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и методического обеспечения 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и Департаментом реестра</w:t>
            </w:r>
            <w:r w:rsidR="006C576B">
              <w:rPr>
                <w:rFonts w:ascii="Times New Roman" w:hAnsi="Times New Roman" w:cs="Times New Roman"/>
                <w:sz w:val="24"/>
                <w:szCs w:val="24"/>
              </w:rPr>
              <w:t xml:space="preserve"> НОСТРОЙ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модернизировать действующий Единый реестр членов СРО (формирование дополнительных разделов по </w:t>
            </w:r>
            <w:proofErr w:type="spellStart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/с) с целью поддержки СРО, защиты строительных ком</w:t>
            </w:r>
            <w:r w:rsidR="003600C2" w:rsidRPr="005306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аний, грамотного формирования комплекса мероприятий и превентивных мер, составлению актуальной отчетности по </w:t>
            </w:r>
            <w:proofErr w:type="spellStart"/>
            <w:proofErr w:type="gramStart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/с и взаимодействию с ГТИ;</w:t>
            </w:r>
          </w:p>
          <w:p w:rsidR="00BC5DCE" w:rsidRPr="00530641" w:rsidRDefault="00BC5DCE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- разработка Регламента взаимодействия между сторонами-участниками.</w:t>
            </w:r>
          </w:p>
        </w:tc>
        <w:tc>
          <w:tcPr>
            <w:tcW w:w="2268" w:type="dxa"/>
          </w:tcPr>
          <w:p w:rsidR="002017B5" w:rsidRDefault="00201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954FBA" w:rsidRDefault="00954FBA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BA" w:rsidRDefault="00954FBA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BA" w:rsidRDefault="00954FBA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BA" w:rsidRDefault="00954FBA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BA" w:rsidRPr="00954FBA" w:rsidRDefault="00954FBA" w:rsidP="00954FB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017B5" w:rsidRPr="00F36C55" w:rsidTr="00D83A76">
        <w:trPr>
          <w:trHeight w:val="550"/>
        </w:trPr>
        <w:tc>
          <w:tcPr>
            <w:tcW w:w="959" w:type="dxa"/>
          </w:tcPr>
          <w:p w:rsidR="002017B5" w:rsidRPr="00954FBA" w:rsidRDefault="002017B5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017B5" w:rsidRPr="00530641" w:rsidRDefault="00F927B5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действующего законодательства, регулирующего вопросы охраны труда на предмет достаточности (избыточности) требований по обеспечению безопасных условий труда на рабочих местах в целях снижения производственного </w:t>
            </w:r>
            <w:proofErr w:type="gramStart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proofErr w:type="gramEnd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строительной отрасли. Выработка предложений по внесению изменений</w:t>
            </w:r>
          </w:p>
        </w:tc>
        <w:tc>
          <w:tcPr>
            <w:tcW w:w="2268" w:type="dxa"/>
          </w:tcPr>
          <w:p w:rsidR="002017B5" w:rsidRPr="00F36C55" w:rsidRDefault="00201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017B5" w:rsidRPr="00F36C55" w:rsidTr="00D83A76">
        <w:trPr>
          <w:trHeight w:val="550"/>
        </w:trPr>
        <w:tc>
          <w:tcPr>
            <w:tcW w:w="959" w:type="dxa"/>
          </w:tcPr>
          <w:p w:rsidR="002017B5" w:rsidRPr="00BC6445" w:rsidRDefault="002017B5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2017B5" w:rsidRPr="00530641" w:rsidRDefault="00F927B5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17B5"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актуализация </w:t>
            </w:r>
            <w:r w:rsidR="002017B5"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электронного ресурса по охране труда и обеспечению безопасности на строительных объектах, размещаемого на официальном сайте НОСТРОЙ и сайтах саморегулируемых организаций, </w:t>
            </w:r>
            <w:proofErr w:type="gramStart"/>
            <w:r w:rsidR="002017B5" w:rsidRPr="00530641">
              <w:rPr>
                <w:rFonts w:ascii="Times New Roman" w:hAnsi="Times New Roman" w:cs="Times New Roman"/>
                <w:sz w:val="24"/>
                <w:szCs w:val="24"/>
              </w:rPr>
              <w:t>учитывающий</w:t>
            </w:r>
            <w:proofErr w:type="gramEnd"/>
            <w:r w:rsidR="002017B5"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декларирование сведений о строящихся членами саморе</w:t>
            </w:r>
            <w:r w:rsidR="00BC5DCE" w:rsidRPr="00530641">
              <w:rPr>
                <w:rFonts w:ascii="Times New Roman" w:hAnsi="Times New Roman" w:cs="Times New Roman"/>
                <w:sz w:val="24"/>
                <w:szCs w:val="24"/>
              </w:rPr>
              <w:t>гулируемых организаций объектах:</w:t>
            </w:r>
          </w:p>
          <w:p w:rsidR="00BC5DCE" w:rsidRPr="00530641" w:rsidRDefault="00BC5DCE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</w:t>
            </w:r>
            <w:r w:rsidR="00604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Электронного Инспектора</w:t>
            </w:r>
            <w:r w:rsidR="00604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Методических рекомендаций по внедрению системы управления охраны труд</w:t>
            </w:r>
            <w:proofErr w:type="gramStart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FBA" w:rsidRPr="005306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54FBA" w:rsidRPr="00530641">
              <w:rPr>
                <w:rFonts w:ascii="Times New Roman" w:hAnsi="Times New Roman" w:cs="Times New Roman"/>
                <w:sz w:val="24"/>
                <w:szCs w:val="24"/>
              </w:rPr>
              <w:t>п.16)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DCE" w:rsidRPr="00530641" w:rsidRDefault="00BC5DCE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</w:t>
            </w:r>
            <w:proofErr w:type="spellStart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proofErr w:type="spellEnd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(апробация на </w:t>
            </w:r>
            <w:proofErr w:type="gramStart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СРО);</w:t>
            </w:r>
          </w:p>
          <w:p w:rsidR="00BC5DCE" w:rsidRPr="00530641" w:rsidRDefault="00BC5DCE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- запуск отработанной версии проекта;</w:t>
            </w:r>
          </w:p>
          <w:p w:rsidR="00BC5DCE" w:rsidRPr="00530641" w:rsidRDefault="00BC5DCE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- мониторинг.</w:t>
            </w:r>
          </w:p>
        </w:tc>
        <w:tc>
          <w:tcPr>
            <w:tcW w:w="2268" w:type="dxa"/>
          </w:tcPr>
          <w:p w:rsidR="002017B5" w:rsidRDefault="00201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4FBA" w:rsidRDefault="00954FBA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BA" w:rsidRDefault="00954FBA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BA" w:rsidRDefault="00954FBA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BA" w:rsidRDefault="00954FBA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BA" w:rsidRPr="00F36C55" w:rsidRDefault="00954FBA" w:rsidP="0053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B5" w:rsidRPr="00F36C55" w:rsidTr="00D83A76">
        <w:trPr>
          <w:trHeight w:val="550"/>
        </w:trPr>
        <w:tc>
          <w:tcPr>
            <w:tcW w:w="959" w:type="dxa"/>
          </w:tcPr>
          <w:p w:rsidR="002017B5" w:rsidRPr="00530641" w:rsidRDefault="002017B5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017B5" w:rsidRPr="00530641" w:rsidRDefault="003600C2" w:rsidP="0036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927B5" w:rsidRPr="00530641">
              <w:rPr>
                <w:rFonts w:ascii="Times New Roman" w:hAnsi="Times New Roman" w:cs="Times New Roman"/>
                <w:sz w:val="24"/>
                <w:szCs w:val="24"/>
              </w:rPr>
              <w:t>Участие в обеспечении внедрения системы управления охраной труда в организациях строительной отрасли (приказ Минтруда России от 19.08.2016 № 438н)</w:t>
            </w:r>
            <w:proofErr w:type="gramStart"/>
            <w:r w:rsidR="002017B5"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600C2" w:rsidRPr="00530641" w:rsidRDefault="003600C2" w:rsidP="0036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2) Разработка Методических рекомендаций по внедрению системы охраны труда совместно с Департаментом </w:t>
            </w:r>
            <w:r w:rsidR="00B278E1">
              <w:rPr>
                <w:rFonts w:ascii="Times New Roman" w:hAnsi="Times New Roman" w:cs="Times New Roman"/>
                <w:sz w:val="24"/>
                <w:szCs w:val="24"/>
              </w:rPr>
              <w:t>нормативного и методического обеспечения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17B5" w:rsidRDefault="00201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4FBA" w:rsidRDefault="00954FBA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BA" w:rsidRPr="00954FBA" w:rsidRDefault="00954FBA" w:rsidP="00FD266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017B5" w:rsidRPr="00F36C55" w:rsidTr="00D83A76">
        <w:trPr>
          <w:trHeight w:val="550"/>
        </w:trPr>
        <w:tc>
          <w:tcPr>
            <w:tcW w:w="959" w:type="dxa"/>
          </w:tcPr>
          <w:p w:rsidR="002017B5" w:rsidRPr="00954FBA" w:rsidRDefault="002017B5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017B5" w:rsidRPr="00530641" w:rsidRDefault="00604E09" w:rsidP="0053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7B5" w:rsidRPr="00530641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НОСТРОЙ</w:t>
            </w:r>
            <w:r w:rsidR="00F927B5"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F927B5" w:rsidRPr="00530641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27B5"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охраной труда в строительных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Порядок создания и внедрения»</w:t>
            </w:r>
            <w:r w:rsidR="005F204B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программе стандартизации НОСТРОЙ)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  <w:r w:rsidR="00F927B5"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по его применению </w:t>
            </w:r>
            <w:r w:rsidR="003600C2"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00C2" w:rsidRPr="00530641">
              <w:rPr>
                <w:rFonts w:ascii="Times New Roman" w:hAnsi="Times New Roman" w:cs="Times New Roman"/>
                <w:sz w:val="24"/>
                <w:szCs w:val="24"/>
              </w:rPr>
              <w:t>Электронного Инспектора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2017B5" w:rsidRDefault="00201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4FBA" w:rsidRPr="00954FBA" w:rsidRDefault="00954FBA" w:rsidP="00FD266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017B5" w:rsidRPr="00F36C55" w:rsidTr="00D83A76">
        <w:trPr>
          <w:trHeight w:val="550"/>
        </w:trPr>
        <w:tc>
          <w:tcPr>
            <w:tcW w:w="959" w:type="dxa"/>
          </w:tcPr>
          <w:p w:rsidR="002017B5" w:rsidRPr="00954FBA" w:rsidRDefault="002017B5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017B5" w:rsidRPr="00530641" w:rsidRDefault="00F927B5" w:rsidP="00F9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мониторинга исполнения приказа Минтруда от 19.08.2016 № 438н «Об утверждении Типового положения о системе управления охраной труда»</w:t>
            </w:r>
          </w:p>
        </w:tc>
        <w:tc>
          <w:tcPr>
            <w:tcW w:w="2268" w:type="dxa"/>
          </w:tcPr>
          <w:p w:rsidR="002017B5" w:rsidRPr="00F36C55" w:rsidRDefault="00201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7B5" w:rsidRPr="00F36C55" w:rsidTr="00D83A76">
        <w:trPr>
          <w:trHeight w:val="550"/>
        </w:trPr>
        <w:tc>
          <w:tcPr>
            <w:tcW w:w="959" w:type="dxa"/>
          </w:tcPr>
          <w:p w:rsidR="00F927B5" w:rsidRPr="00BC6445" w:rsidRDefault="00F927B5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F927B5" w:rsidRPr="00530641" w:rsidRDefault="00F927B5" w:rsidP="00F9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анализа нормативных документов в области охраны и безопасности труда и подготовка предложений о включении их требований в программу проверок строительных организаций Государственной инспекцией труда.</w:t>
            </w:r>
          </w:p>
        </w:tc>
        <w:tc>
          <w:tcPr>
            <w:tcW w:w="2268" w:type="dxa"/>
          </w:tcPr>
          <w:p w:rsidR="00F927B5" w:rsidRPr="00F36C55" w:rsidRDefault="00F92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7B5" w:rsidRPr="00F36C55" w:rsidTr="00D83A76">
        <w:trPr>
          <w:trHeight w:val="550"/>
        </w:trPr>
        <w:tc>
          <w:tcPr>
            <w:tcW w:w="959" w:type="dxa"/>
          </w:tcPr>
          <w:p w:rsidR="00F927B5" w:rsidRPr="00F927B5" w:rsidRDefault="00F927B5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927B5" w:rsidRPr="00530641" w:rsidRDefault="002932A4" w:rsidP="00F9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дополнений в территориальные программы субъект</w:t>
            </w:r>
            <w:r w:rsidR="00651C3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по улучшению условий охраны труда мероприятий, направленных на снижение производственного травматизма в строительной отрасли</w:t>
            </w:r>
          </w:p>
        </w:tc>
        <w:tc>
          <w:tcPr>
            <w:tcW w:w="2268" w:type="dxa"/>
          </w:tcPr>
          <w:p w:rsidR="00F927B5" w:rsidRPr="00F36C55" w:rsidRDefault="00F92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7B5" w:rsidRPr="00F36C55" w:rsidTr="00D83A76">
        <w:trPr>
          <w:trHeight w:val="550"/>
        </w:trPr>
        <w:tc>
          <w:tcPr>
            <w:tcW w:w="959" w:type="dxa"/>
          </w:tcPr>
          <w:p w:rsidR="00F927B5" w:rsidRPr="00F927B5" w:rsidRDefault="00F927B5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927B5" w:rsidRPr="00530641" w:rsidRDefault="002932A4" w:rsidP="00AC5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третьей Всероссийской неделе охраны труда в Главном </w:t>
            </w:r>
            <w:proofErr w:type="spellStart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медиацентре</w:t>
            </w:r>
            <w:proofErr w:type="spellEnd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г. Сочи в период с 10 по 14 апреля 201</w:t>
            </w:r>
            <w:r w:rsidR="00AC5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927B5" w:rsidRPr="00F36C55" w:rsidRDefault="00717E40" w:rsidP="00AC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апреля 201</w:t>
            </w:r>
            <w:r w:rsidR="00AC5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27B5" w:rsidRPr="00F36C55" w:rsidTr="00D83A76">
        <w:trPr>
          <w:trHeight w:val="550"/>
        </w:trPr>
        <w:tc>
          <w:tcPr>
            <w:tcW w:w="959" w:type="dxa"/>
          </w:tcPr>
          <w:p w:rsidR="00F927B5" w:rsidRPr="00F927B5" w:rsidRDefault="00F927B5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927B5" w:rsidRPr="00530641" w:rsidRDefault="00F927B5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Правил по охране труда в строительстве (приказ Минтруда России от 01.06.2015 №336н) и других правил по охране труда, действующих в Российской Федерации, которые распространяются на строительную отрасль (приказы Минтруда России от 28.03.2014 №155н, от 23.12.2014 №1101н, от 24.07.2013 №328н, от 17.09.2014 №642н, </w:t>
            </w:r>
            <w:proofErr w:type="gramStart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23.06.2016 №310н), </w:t>
            </w:r>
            <w:proofErr w:type="gramStart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согласованности. Подготовка предложений по внесению изменений в документы.</w:t>
            </w:r>
          </w:p>
        </w:tc>
        <w:tc>
          <w:tcPr>
            <w:tcW w:w="2268" w:type="dxa"/>
          </w:tcPr>
          <w:p w:rsidR="00F927B5" w:rsidRPr="00F36C55" w:rsidRDefault="00F92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00C2" w:rsidRPr="00F36C55" w:rsidTr="00D83A76">
        <w:trPr>
          <w:trHeight w:val="550"/>
        </w:trPr>
        <w:tc>
          <w:tcPr>
            <w:tcW w:w="959" w:type="dxa"/>
          </w:tcPr>
          <w:p w:rsidR="003600C2" w:rsidRPr="00F927B5" w:rsidRDefault="003600C2" w:rsidP="00D83A76">
            <w:pPr>
              <w:pStyle w:val="a4"/>
              <w:numPr>
                <w:ilvl w:val="0"/>
                <w:numId w:val="6"/>
              </w:numPr>
              <w:ind w:left="284" w:right="4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3600C2" w:rsidRPr="00530641" w:rsidRDefault="003600C2" w:rsidP="00531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порядка взаимодействия </w:t>
            </w:r>
            <w:r w:rsidR="005872A4"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по расследованию </w:t>
            </w:r>
            <w:proofErr w:type="spellStart"/>
            <w:proofErr w:type="gramStart"/>
            <w:r w:rsidR="005872A4" w:rsidRPr="005306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5872A4" w:rsidRPr="005306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5872A4" w:rsidRPr="00530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872A4"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="00651C3F">
              <w:rPr>
                <w:rFonts w:ascii="Times New Roman" w:hAnsi="Times New Roman" w:cs="Times New Roman"/>
                <w:sz w:val="24"/>
                <w:szCs w:val="24"/>
              </w:rPr>
              <w:t xml:space="preserve">штатными сотрудниками 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НОСТРОЙ</w:t>
            </w:r>
            <w:r w:rsidR="004F3E07"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69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 </w:t>
            </w:r>
            <w:r w:rsidR="00651C3F">
              <w:rPr>
                <w:rFonts w:ascii="Times New Roman" w:hAnsi="Times New Roman" w:cs="Times New Roman"/>
                <w:sz w:val="24"/>
                <w:szCs w:val="24"/>
              </w:rPr>
              <w:t xml:space="preserve">НОСТРОЙ </w:t>
            </w:r>
            <w:r w:rsidR="005316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страхованию</w:t>
            </w:r>
            <w:r w:rsidR="00AE5C1A">
              <w:rPr>
                <w:rFonts w:ascii="Times New Roman" w:hAnsi="Times New Roman" w:cs="Times New Roman"/>
                <w:sz w:val="24"/>
                <w:szCs w:val="24"/>
              </w:rPr>
              <w:t>, охране труда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финансовым инструментам строительного рынка, Координатор</w:t>
            </w:r>
            <w:r w:rsidR="00651C3F">
              <w:rPr>
                <w:rFonts w:ascii="Times New Roman" w:hAnsi="Times New Roman" w:cs="Times New Roman"/>
                <w:sz w:val="24"/>
                <w:szCs w:val="24"/>
              </w:rPr>
              <w:t>ами НОСТРОЙ в федеральных округах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, Департаментом градостроительной политики Москвы, </w:t>
            </w:r>
            <w:proofErr w:type="spellStart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саморегулируемыми</w:t>
            </w:r>
            <w:proofErr w:type="spellEnd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строительной отрасли </w:t>
            </w:r>
          </w:p>
        </w:tc>
        <w:tc>
          <w:tcPr>
            <w:tcW w:w="2268" w:type="dxa"/>
          </w:tcPr>
          <w:p w:rsidR="003600C2" w:rsidRPr="00530641" w:rsidRDefault="003600C2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4FBA" w:rsidRPr="00530641" w:rsidRDefault="00954FBA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8CD" w:rsidRDefault="00DB68CD" w:rsidP="00F36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8CD" w:rsidRDefault="00DB68CD" w:rsidP="00F36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8CD" w:rsidRDefault="00DB68CD" w:rsidP="00F36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137" w:rsidRPr="00F36C55" w:rsidRDefault="00DD2137" w:rsidP="00F36C55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C55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</w:t>
      </w:r>
      <w:r w:rsidRPr="00F36C55">
        <w:rPr>
          <w:rFonts w:ascii="Times New Roman" w:hAnsi="Times New Roman" w:cs="Times New Roman"/>
          <w:b/>
          <w:sz w:val="24"/>
          <w:szCs w:val="24"/>
        </w:rPr>
        <w:tab/>
      </w:r>
      <w:r w:rsidR="00B17C26">
        <w:rPr>
          <w:rFonts w:ascii="Times New Roman" w:hAnsi="Times New Roman" w:cs="Times New Roman"/>
          <w:b/>
          <w:sz w:val="24"/>
          <w:szCs w:val="24"/>
        </w:rPr>
        <w:t xml:space="preserve">Н.Н. </w:t>
      </w:r>
      <w:proofErr w:type="spellStart"/>
      <w:r w:rsidR="00B17C26">
        <w:rPr>
          <w:rFonts w:ascii="Times New Roman" w:hAnsi="Times New Roman" w:cs="Times New Roman"/>
          <w:b/>
          <w:sz w:val="24"/>
          <w:szCs w:val="24"/>
        </w:rPr>
        <w:t>Загускин</w:t>
      </w:r>
      <w:proofErr w:type="spellEnd"/>
    </w:p>
    <w:sectPr w:rsidR="00DD2137" w:rsidRPr="00F36C55" w:rsidSect="005306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39" w:rsidRDefault="00706539" w:rsidP="007703F0">
      <w:pPr>
        <w:spacing w:after="0" w:line="240" w:lineRule="auto"/>
      </w:pPr>
      <w:r>
        <w:separator/>
      </w:r>
    </w:p>
  </w:endnote>
  <w:endnote w:type="continuationSeparator" w:id="0">
    <w:p w:rsidR="00706539" w:rsidRDefault="00706539" w:rsidP="0077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39" w:rsidRDefault="00706539" w:rsidP="007703F0">
      <w:pPr>
        <w:spacing w:after="0" w:line="240" w:lineRule="auto"/>
      </w:pPr>
      <w:r>
        <w:separator/>
      </w:r>
    </w:p>
  </w:footnote>
  <w:footnote w:type="continuationSeparator" w:id="0">
    <w:p w:rsidR="00706539" w:rsidRDefault="00706539" w:rsidP="00770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270"/>
    <w:multiLevelType w:val="hybridMultilevel"/>
    <w:tmpl w:val="0FEC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45A8"/>
    <w:multiLevelType w:val="hybridMultilevel"/>
    <w:tmpl w:val="0444EE88"/>
    <w:lvl w:ilvl="0" w:tplc="B41E815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4605B"/>
    <w:multiLevelType w:val="hybridMultilevel"/>
    <w:tmpl w:val="91EA40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914FAC"/>
    <w:multiLevelType w:val="hybridMultilevel"/>
    <w:tmpl w:val="91EA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72B1"/>
    <w:multiLevelType w:val="hybridMultilevel"/>
    <w:tmpl w:val="4166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4207"/>
    <w:multiLevelType w:val="hybridMultilevel"/>
    <w:tmpl w:val="0FEC5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D990C0A"/>
    <w:multiLevelType w:val="hybridMultilevel"/>
    <w:tmpl w:val="A2B8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C2A30"/>
    <w:multiLevelType w:val="hybridMultilevel"/>
    <w:tmpl w:val="62E8C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андр Мешалов">
    <w15:presenceInfo w15:providerId="Windows Live" w15:userId="843bcbf2edc1ce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01AD"/>
    <w:rsid w:val="00021432"/>
    <w:rsid w:val="00032AAC"/>
    <w:rsid w:val="00051CC5"/>
    <w:rsid w:val="000646AB"/>
    <w:rsid w:val="00083377"/>
    <w:rsid w:val="0009019C"/>
    <w:rsid w:val="000D5FED"/>
    <w:rsid w:val="000E2863"/>
    <w:rsid w:val="000E649D"/>
    <w:rsid w:val="001912E7"/>
    <w:rsid w:val="00194A55"/>
    <w:rsid w:val="001D2C9B"/>
    <w:rsid w:val="001E72AD"/>
    <w:rsid w:val="002017B5"/>
    <w:rsid w:val="002932A4"/>
    <w:rsid w:val="002B7F00"/>
    <w:rsid w:val="003137F0"/>
    <w:rsid w:val="00345E47"/>
    <w:rsid w:val="0034630B"/>
    <w:rsid w:val="003600C2"/>
    <w:rsid w:val="00380E6D"/>
    <w:rsid w:val="003841C3"/>
    <w:rsid w:val="00385D4B"/>
    <w:rsid w:val="003A7D42"/>
    <w:rsid w:val="00403CBC"/>
    <w:rsid w:val="0040562B"/>
    <w:rsid w:val="0041153B"/>
    <w:rsid w:val="0043108D"/>
    <w:rsid w:val="00462F9F"/>
    <w:rsid w:val="004865AF"/>
    <w:rsid w:val="00491744"/>
    <w:rsid w:val="004B109B"/>
    <w:rsid w:val="004F3E07"/>
    <w:rsid w:val="00514733"/>
    <w:rsid w:val="00530140"/>
    <w:rsid w:val="00530641"/>
    <w:rsid w:val="0053169D"/>
    <w:rsid w:val="00570B71"/>
    <w:rsid w:val="00573FB6"/>
    <w:rsid w:val="005872A4"/>
    <w:rsid w:val="005A4AD6"/>
    <w:rsid w:val="005F204B"/>
    <w:rsid w:val="005F504F"/>
    <w:rsid w:val="005F6018"/>
    <w:rsid w:val="0060282A"/>
    <w:rsid w:val="00604E09"/>
    <w:rsid w:val="00641620"/>
    <w:rsid w:val="00643D2A"/>
    <w:rsid w:val="00651C3F"/>
    <w:rsid w:val="00665522"/>
    <w:rsid w:val="00666866"/>
    <w:rsid w:val="006674A4"/>
    <w:rsid w:val="006C576B"/>
    <w:rsid w:val="006D1367"/>
    <w:rsid w:val="006D4B1D"/>
    <w:rsid w:val="00706539"/>
    <w:rsid w:val="00717E40"/>
    <w:rsid w:val="007359B8"/>
    <w:rsid w:val="00756E9F"/>
    <w:rsid w:val="007703F0"/>
    <w:rsid w:val="00772E1D"/>
    <w:rsid w:val="007939CE"/>
    <w:rsid w:val="00795AB6"/>
    <w:rsid w:val="007B4513"/>
    <w:rsid w:val="007C16ED"/>
    <w:rsid w:val="007E7595"/>
    <w:rsid w:val="008266CE"/>
    <w:rsid w:val="008328D7"/>
    <w:rsid w:val="008663C1"/>
    <w:rsid w:val="00874CA1"/>
    <w:rsid w:val="00882606"/>
    <w:rsid w:val="00882916"/>
    <w:rsid w:val="008A547B"/>
    <w:rsid w:val="008C1E7F"/>
    <w:rsid w:val="008C1F4A"/>
    <w:rsid w:val="008F6693"/>
    <w:rsid w:val="009004A3"/>
    <w:rsid w:val="00954FBA"/>
    <w:rsid w:val="009D2462"/>
    <w:rsid w:val="009E7D0D"/>
    <w:rsid w:val="00A02F28"/>
    <w:rsid w:val="00A430B7"/>
    <w:rsid w:val="00A86D67"/>
    <w:rsid w:val="00AA0795"/>
    <w:rsid w:val="00AA3DEA"/>
    <w:rsid w:val="00AB01AD"/>
    <w:rsid w:val="00AC4989"/>
    <w:rsid w:val="00AC5AB2"/>
    <w:rsid w:val="00AD07B9"/>
    <w:rsid w:val="00AE0C23"/>
    <w:rsid w:val="00AE5C1A"/>
    <w:rsid w:val="00AF30BA"/>
    <w:rsid w:val="00B108FF"/>
    <w:rsid w:val="00B12DA7"/>
    <w:rsid w:val="00B17C26"/>
    <w:rsid w:val="00B278E1"/>
    <w:rsid w:val="00B521DA"/>
    <w:rsid w:val="00B6590E"/>
    <w:rsid w:val="00B84722"/>
    <w:rsid w:val="00B86A05"/>
    <w:rsid w:val="00B97BDC"/>
    <w:rsid w:val="00BC5DCE"/>
    <w:rsid w:val="00BC6445"/>
    <w:rsid w:val="00BE24A0"/>
    <w:rsid w:val="00BF1866"/>
    <w:rsid w:val="00BF7E2F"/>
    <w:rsid w:val="00C01C12"/>
    <w:rsid w:val="00C022B3"/>
    <w:rsid w:val="00C0568C"/>
    <w:rsid w:val="00C42619"/>
    <w:rsid w:val="00C4703D"/>
    <w:rsid w:val="00C8529B"/>
    <w:rsid w:val="00CA1014"/>
    <w:rsid w:val="00CB46F7"/>
    <w:rsid w:val="00D00025"/>
    <w:rsid w:val="00D11F8D"/>
    <w:rsid w:val="00D1281A"/>
    <w:rsid w:val="00D26E49"/>
    <w:rsid w:val="00D83A76"/>
    <w:rsid w:val="00D9140F"/>
    <w:rsid w:val="00DB1563"/>
    <w:rsid w:val="00DB68CD"/>
    <w:rsid w:val="00DC608E"/>
    <w:rsid w:val="00DD2137"/>
    <w:rsid w:val="00DD5F49"/>
    <w:rsid w:val="00E1148E"/>
    <w:rsid w:val="00E23226"/>
    <w:rsid w:val="00E57946"/>
    <w:rsid w:val="00E76B9C"/>
    <w:rsid w:val="00E825D7"/>
    <w:rsid w:val="00EF059D"/>
    <w:rsid w:val="00F36C55"/>
    <w:rsid w:val="00F465B5"/>
    <w:rsid w:val="00F927B5"/>
    <w:rsid w:val="00FA4282"/>
    <w:rsid w:val="00FB5BC9"/>
    <w:rsid w:val="00F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1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6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5">
    <w:name w:val="Font Style25"/>
    <w:basedOn w:val="a0"/>
    <w:uiPriority w:val="99"/>
    <w:rsid w:val="003841C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8C1E7F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C1E7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6C55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F36C5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770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703F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70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3F0"/>
    <w:rPr>
      <w:rFonts w:eastAsiaTheme="minorEastAsia"/>
      <w:lang w:eastAsia="ru-RU"/>
    </w:rPr>
  </w:style>
  <w:style w:type="character" w:styleId="ab">
    <w:name w:val="annotation reference"/>
    <w:rsid w:val="00F927B5"/>
    <w:rPr>
      <w:sz w:val="16"/>
      <w:szCs w:val="16"/>
    </w:rPr>
  </w:style>
  <w:style w:type="paragraph" w:styleId="ac">
    <w:name w:val="annotation text"/>
    <w:basedOn w:val="a"/>
    <w:link w:val="ad"/>
    <w:rsid w:val="00F927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F92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Revision"/>
    <w:hidden/>
    <w:uiPriority w:val="99"/>
    <w:semiHidden/>
    <w:rsid w:val="00AC49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DBAC9-211B-4DD2-B19F-A54A10E9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Баннова Елена</dc:creator>
  <cp:lastModifiedBy>Donna_Anna</cp:lastModifiedBy>
  <cp:revision>2</cp:revision>
  <cp:lastPrinted>2018-02-05T15:46:00Z</cp:lastPrinted>
  <dcterms:created xsi:type="dcterms:W3CDTF">2018-02-13T09:07:00Z</dcterms:created>
  <dcterms:modified xsi:type="dcterms:W3CDTF">2018-02-13T09:07:00Z</dcterms:modified>
</cp:coreProperties>
</file>