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72" w:rsidRDefault="001837F8" w:rsidP="00763872">
      <w:pPr>
        <w:jc w:val="center"/>
        <w:rPr>
          <w:b/>
          <w:bCs/>
          <w:sz w:val="28"/>
          <w:szCs w:val="28"/>
        </w:rPr>
      </w:pPr>
      <w:r w:rsidRPr="001837F8">
        <w:rPr>
          <w:b/>
          <w:bCs/>
          <w:sz w:val="28"/>
          <w:szCs w:val="28"/>
        </w:rPr>
        <w:t xml:space="preserve">Ответы на вопросы, поступившие на </w:t>
      </w:r>
      <w:proofErr w:type="spellStart"/>
      <w:r w:rsidRPr="001837F8">
        <w:rPr>
          <w:b/>
          <w:bCs/>
          <w:sz w:val="28"/>
          <w:szCs w:val="28"/>
        </w:rPr>
        <w:t>вебинаре</w:t>
      </w:r>
      <w:proofErr w:type="spellEnd"/>
      <w:r w:rsidRPr="001837F8">
        <w:rPr>
          <w:b/>
          <w:bCs/>
          <w:sz w:val="28"/>
          <w:szCs w:val="28"/>
        </w:rPr>
        <w:t xml:space="preserve"> 14.09.2020</w:t>
      </w:r>
    </w:p>
    <w:p w:rsidR="001837F8" w:rsidRDefault="001837F8" w:rsidP="00763872">
      <w:pPr>
        <w:jc w:val="center"/>
        <w:rPr>
          <w:b/>
          <w:noProof/>
          <w:sz w:val="28"/>
          <w:szCs w:val="28"/>
        </w:rPr>
      </w:pPr>
    </w:p>
    <w:tbl>
      <w:tblPr>
        <w:tblStyle w:val="a3"/>
        <w:tblW w:w="14879" w:type="dxa"/>
        <w:tblLook w:val="04A0" w:firstRow="1" w:lastRow="0" w:firstColumn="1" w:lastColumn="0" w:noHBand="0" w:noVBand="1"/>
      </w:tblPr>
      <w:tblGrid>
        <w:gridCol w:w="988"/>
        <w:gridCol w:w="6520"/>
        <w:gridCol w:w="7371"/>
      </w:tblGrid>
      <w:tr w:rsidR="00763872" w:rsidTr="00AD7EF2">
        <w:tc>
          <w:tcPr>
            <w:tcW w:w="988" w:type="dxa"/>
          </w:tcPr>
          <w:p w:rsidR="00763872" w:rsidRDefault="00763872" w:rsidP="00763872">
            <w:pPr>
              <w:jc w:val="center"/>
              <w:rPr>
                <w:b/>
                <w:sz w:val="28"/>
                <w:szCs w:val="28"/>
              </w:rPr>
            </w:pPr>
            <w:r>
              <w:rPr>
                <w:b/>
                <w:sz w:val="28"/>
                <w:szCs w:val="28"/>
              </w:rPr>
              <w:t>№№ п/п</w:t>
            </w:r>
          </w:p>
        </w:tc>
        <w:tc>
          <w:tcPr>
            <w:tcW w:w="6520" w:type="dxa"/>
          </w:tcPr>
          <w:p w:rsidR="00763872" w:rsidRDefault="00763872" w:rsidP="00763872">
            <w:pPr>
              <w:jc w:val="center"/>
              <w:rPr>
                <w:b/>
                <w:sz w:val="28"/>
                <w:szCs w:val="28"/>
              </w:rPr>
            </w:pPr>
            <w:r>
              <w:rPr>
                <w:b/>
                <w:sz w:val="28"/>
                <w:szCs w:val="28"/>
              </w:rPr>
              <w:t>Вопрос</w:t>
            </w:r>
            <w:r w:rsidR="000D6978">
              <w:rPr>
                <w:b/>
                <w:sz w:val="28"/>
                <w:szCs w:val="28"/>
              </w:rPr>
              <w:t>ы от Операторов</w:t>
            </w:r>
          </w:p>
        </w:tc>
        <w:tc>
          <w:tcPr>
            <w:tcW w:w="7371" w:type="dxa"/>
          </w:tcPr>
          <w:p w:rsidR="00763872" w:rsidRDefault="00763872" w:rsidP="00763872">
            <w:pPr>
              <w:jc w:val="center"/>
              <w:rPr>
                <w:b/>
                <w:sz w:val="28"/>
                <w:szCs w:val="28"/>
              </w:rPr>
            </w:pPr>
            <w:r>
              <w:rPr>
                <w:b/>
                <w:sz w:val="28"/>
                <w:szCs w:val="28"/>
              </w:rPr>
              <w:t>Ответ</w:t>
            </w:r>
            <w:r w:rsidR="000D6978">
              <w:rPr>
                <w:b/>
                <w:sz w:val="28"/>
                <w:szCs w:val="28"/>
              </w:rPr>
              <w:t>ы</w:t>
            </w: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763872" w:rsidRPr="00763872" w:rsidRDefault="00763872" w:rsidP="005413F6">
            <w:pPr>
              <w:jc w:val="both"/>
            </w:pPr>
            <w:r w:rsidRPr="00763872">
              <w:t xml:space="preserve">Сколько будет действовать </w:t>
            </w:r>
            <w:r>
              <w:t>старая форма заявления?</w:t>
            </w:r>
          </w:p>
        </w:tc>
        <w:tc>
          <w:tcPr>
            <w:tcW w:w="7371" w:type="dxa"/>
          </w:tcPr>
          <w:p w:rsidR="00763872" w:rsidRPr="00AD7EF2" w:rsidRDefault="00AD7EF2" w:rsidP="005413F6">
            <w:pPr>
              <w:jc w:val="both"/>
            </w:pPr>
            <w:r w:rsidRPr="00AD7EF2">
              <w:t xml:space="preserve">В течение месяца, будет происходить переход на новые документы, общий </w:t>
            </w:r>
            <w:r>
              <w:t>переходный период</w:t>
            </w:r>
            <w:r w:rsidR="00553CE4">
              <w:t xml:space="preserve"> составит</w:t>
            </w:r>
            <w:r w:rsidR="008723AF">
              <w:t xml:space="preserve"> 1 месяц</w:t>
            </w:r>
            <w:r>
              <w:t xml:space="preserve">, </w:t>
            </w:r>
            <w:r w:rsidR="00553CE4">
              <w:t xml:space="preserve">т.е. </w:t>
            </w:r>
            <w:r>
              <w:t xml:space="preserve">до </w:t>
            </w:r>
            <w:r w:rsidR="008723AF">
              <w:t>03.10.2020.</w:t>
            </w: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763872" w:rsidRPr="00763872" w:rsidRDefault="00763872" w:rsidP="005413F6">
            <w:pPr>
              <w:jc w:val="both"/>
            </w:pPr>
            <w:r>
              <w:t>Какое Согласие нужно предоставлять, если форма заявления старая?</w:t>
            </w:r>
          </w:p>
        </w:tc>
        <w:tc>
          <w:tcPr>
            <w:tcW w:w="7371" w:type="dxa"/>
          </w:tcPr>
          <w:p w:rsidR="00763872" w:rsidRPr="00AD7EF2" w:rsidRDefault="00AD7EF2" w:rsidP="005413F6">
            <w:pPr>
              <w:jc w:val="both"/>
            </w:pPr>
            <w:r w:rsidRPr="00AD7EF2">
              <w:t>Согласие тоже старого образца.</w:t>
            </w:r>
          </w:p>
        </w:tc>
      </w:tr>
      <w:tr w:rsidR="00B21510" w:rsidTr="00AD7EF2">
        <w:tc>
          <w:tcPr>
            <w:tcW w:w="988" w:type="dxa"/>
          </w:tcPr>
          <w:p w:rsidR="00B21510" w:rsidRPr="00763872" w:rsidRDefault="00B21510" w:rsidP="005413F6">
            <w:pPr>
              <w:pStyle w:val="a4"/>
              <w:numPr>
                <w:ilvl w:val="0"/>
                <w:numId w:val="3"/>
              </w:numPr>
              <w:jc w:val="both"/>
            </w:pPr>
          </w:p>
        </w:tc>
        <w:tc>
          <w:tcPr>
            <w:tcW w:w="6520" w:type="dxa"/>
          </w:tcPr>
          <w:p w:rsidR="00B21510" w:rsidRDefault="00B21510" w:rsidP="005413F6">
            <w:pPr>
              <w:jc w:val="both"/>
            </w:pPr>
            <w:r>
              <w:t xml:space="preserve">Что такое Форма ознакомления для представителя заявителя? Зачем она нужна? </w:t>
            </w:r>
          </w:p>
        </w:tc>
        <w:tc>
          <w:tcPr>
            <w:tcW w:w="7371" w:type="dxa"/>
          </w:tcPr>
          <w:p w:rsidR="00B21510" w:rsidRPr="00AD7EF2" w:rsidRDefault="00B21510" w:rsidP="005413F6">
            <w:pPr>
              <w:jc w:val="both"/>
            </w:pPr>
            <w:r>
              <w:t>Эта форма предоставляется в случае подачи пакета документов представителем заявителя, помимо нотариально заверенной доверенности.</w:t>
            </w: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763872" w:rsidRPr="00763872" w:rsidRDefault="00AD7EF2" w:rsidP="005413F6">
            <w:pPr>
              <w:jc w:val="both"/>
            </w:pPr>
            <w:r>
              <w:t xml:space="preserve">Нужна ли форма </w:t>
            </w:r>
            <w:r w:rsidR="008313B7">
              <w:t>ознакомления (Согласие) для СРО?</w:t>
            </w:r>
          </w:p>
        </w:tc>
        <w:tc>
          <w:tcPr>
            <w:tcW w:w="7371" w:type="dxa"/>
          </w:tcPr>
          <w:p w:rsidR="00763872" w:rsidRPr="00AD7EF2" w:rsidRDefault="00AD7EF2" w:rsidP="005413F6">
            <w:pPr>
              <w:jc w:val="both"/>
            </w:pPr>
            <w:r w:rsidRPr="00AD7EF2">
              <w:t>Нет, не нужна.</w:t>
            </w:r>
          </w:p>
        </w:tc>
      </w:tr>
      <w:tr w:rsidR="00066EC4" w:rsidTr="00AD7EF2">
        <w:tc>
          <w:tcPr>
            <w:tcW w:w="988" w:type="dxa"/>
          </w:tcPr>
          <w:p w:rsidR="00066EC4" w:rsidRPr="00763872" w:rsidRDefault="00066EC4" w:rsidP="005413F6">
            <w:pPr>
              <w:pStyle w:val="a4"/>
              <w:numPr>
                <w:ilvl w:val="0"/>
                <w:numId w:val="3"/>
              </w:numPr>
              <w:jc w:val="both"/>
            </w:pPr>
          </w:p>
        </w:tc>
        <w:tc>
          <w:tcPr>
            <w:tcW w:w="6520" w:type="dxa"/>
          </w:tcPr>
          <w:p w:rsidR="00066EC4" w:rsidRDefault="00066EC4" w:rsidP="005413F6">
            <w:pPr>
              <w:jc w:val="both"/>
            </w:pPr>
            <w:r w:rsidRPr="00066EC4">
              <w:t>До присоединения и получения Уведомления от НОСТРОЙ о том, что СРО является оператором и включено в реестр, СРО использовать новые формы документов для заполнени</w:t>
            </w:r>
            <w:r w:rsidR="00081747">
              <w:t>я или же использовать прежние? </w:t>
            </w:r>
          </w:p>
          <w:p w:rsidR="007B7B2C" w:rsidRDefault="007B7B2C" w:rsidP="005413F6">
            <w:pPr>
              <w:tabs>
                <w:tab w:val="left" w:pos="851"/>
                <w:tab w:val="left" w:pos="993"/>
              </w:tabs>
              <w:jc w:val="both"/>
            </w:pPr>
            <w:r w:rsidRPr="007B7B2C">
              <w:t>Должна ли СРО принимать документы от Заявителей по новым формам, если на данный момент заявление о присоединении к договору поручения еще не подано. Может ли СРО принимать в таком случае документы, если Заявитель их подал по новым формам?</w:t>
            </w:r>
          </w:p>
        </w:tc>
        <w:tc>
          <w:tcPr>
            <w:tcW w:w="7371" w:type="dxa"/>
          </w:tcPr>
          <w:p w:rsidR="00066EC4" w:rsidRDefault="00066EC4" w:rsidP="005413F6">
            <w:pPr>
              <w:jc w:val="both"/>
            </w:pPr>
            <w:r>
              <w:t xml:space="preserve">Можно </w:t>
            </w:r>
            <w:r w:rsidRPr="00066EC4">
              <w:t>использовать прежние</w:t>
            </w:r>
            <w:r w:rsidR="007B7B2C">
              <w:t xml:space="preserve"> Формы до 03.10.2020.</w:t>
            </w:r>
          </w:p>
          <w:p w:rsidR="007B7B2C" w:rsidRDefault="007B7B2C" w:rsidP="005413F6">
            <w:pPr>
              <w:jc w:val="both"/>
            </w:pPr>
          </w:p>
          <w:p w:rsidR="007B7B2C" w:rsidRDefault="007B7B2C" w:rsidP="005413F6">
            <w:pPr>
              <w:jc w:val="both"/>
            </w:pPr>
            <w:r>
              <w:t>Также можно начинать принимать новые Формы, независимо от наличия Доверенности.</w:t>
            </w:r>
          </w:p>
          <w:p w:rsidR="007B7B2C" w:rsidRPr="00AD7EF2" w:rsidRDefault="007B7B2C" w:rsidP="005413F6">
            <w:pPr>
              <w:jc w:val="both"/>
            </w:pP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B32008" w:rsidRPr="00763872" w:rsidRDefault="00553CE4" w:rsidP="005413F6">
            <w:pPr>
              <w:jc w:val="both"/>
            </w:pPr>
            <w:r>
              <w:t>Является ли Форма ознакомления обязательным документом?</w:t>
            </w:r>
            <w:r w:rsidR="00091C7E">
              <w:t xml:space="preserve"> </w:t>
            </w:r>
            <w:r w:rsidR="00B32008" w:rsidRPr="00B32008">
              <w:rPr>
                <w:bCs/>
              </w:rPr>
              <w:t>Или форму ознакомления</w:t>
            </w:r>
            <w:r w:rsidR="00B32008" w:rsidRPr="00B32008">
              <w:t xml:space="preserve"> отправлять на каждого специалиста только в том случае</w:t>
            </w:r>
            <w:r w:rsidR="00B32008">
              <w:t>,</w:t>
            </w:r>
            <w:r w:rsidR="00B32008" w:rsidRPr="00B32008">
              <w:t xml:space="preserve"> если прикладываем дополнительные документы (сведения ПФР, </w:t>
            </w:r>
            <w:proofErr w:type="spellStart"/>
            <w:r w:rsidR="00B32008" w:rsidRPr="00B32008">
              <w:t>св</w:t>
            </w:r>
            <w:proofErr w:type="spellEnd"/>
            <w:r w:rsidR="00B32008" w:rsidRPr="00B32008">
              <w:t>-во о браке и др.)</w:t>
            </w:r>
          </w:p>
        </w:tc>
        <w:tc>
          <w:tcPr>
            <w:tcW w:w="7371" w:type="dxa"/>
          </w:tcPr>
          <w:p w:rsidR="00763872" w:rsidRPr="00AD7EF2" w:rsidRDefault="00553CE4" w:rsidP="005413F6">
            <w:pPr>
              <w:jc w:val="both"/>
            </w:pPr>
            <w:r>
              <w:t>Да, является.</w:t>
            </w:r>
            <w:r w:rsidR="00091C7E">
              <w:t xml:space="preserve"> Если она будет отсутствовать в комплекте новых заявительных документов, будет вынесено отрицательное решение.</w:t>
            </w:r>
          </w:p>
        </w:tc>
      </w:tr>
      <w:tr w:rsidR="005F6EE0" w:rsidTr="00AD7EF2">
        <w:tc>
          <w:tcPr>
            <w:tcW w:w="988" w:type="dxa"/>
          </w:tcPr>
          <w:p w:rsidR="005F6EE0" w:rsidRPr="00763872" w:rsidRDefault="005F6EE0" w:rsidP="005413F6">
            <w:pPr>
              <w:pStyle w:val="a4"/>
              <w:numPr>
                <w:ilvl w:val="0"/>
                <w:numId w:val="3"/>
              </w:numPr>
              <w:jc w:val="both"/>
            </w:pPr>
          </w:p>
        </w:tc>
        <w:tc>
          <w:tcPr>
            <w:tcW w:w="6520" w:type="dxa"/>
          </w:tcPr>
          <w:p w:rsidR="005F6EE0" w:rsidRDefault="005F6EE0" w:rsidP="005413F6">
            <w:pPr>
              <w:jc w:val="both"/>
            </w:pPr>
            <w:r>
              <w:t>Прошу еще раз уточнить по поводу Формы ознакомления. В Регламенте стоит упоминание о приложении данной Формы в случае предоставления ИНЫХ документов, кроме тех, которые заявитель обязан приложить.</w:t>
            </w:r>
          </w:p>
          <w:p w:rsidR="005F6EE0" w:rsidRDefault="005F6EE0" w:rsidP="005413F6">
            <w:pPr>
              <w:jc w:val="both"/>
            </w:pPr>
          </w:p>
        </w:tc>
        <w:tc>
          <w:tcPr>
            <w:tcW w:w="7371" w:type="dxa"/>
          </w:tcPr>
          <w:p w:rsidR="005F6EE0" w:rsidRDefault="005F6EE0" w:rsidP="005413F6">
            <w:pPr>
              <w:jc w:val="both"/>
            </w:pPr>
            <w:r>
              <w:t xml:space="preserve">Форма ознакомления </w:t>
            </w:r>
            <w:r w:rsidR="003D000B">
              <w:t xml:space="preserve">является </w:t>
            </w:r>
            <w:r>
              <w:t>обязательным документом.</w:t>
            </w:r>
          </w:p>
        </w:tc>
      </w:tr>
      <w:tr w:rsidR="00081747" w:rsidTr="00AD7EF2">
        <w:tc>
          <w:tcPr>
            <w:tcW w:w="988" w:type="dxa"/>
          </w:tcPr>
          <w:p w:rsidR="00081747" w:rsidRPr="00763872" w:rsidRDefault="00081747" w:rsidP="005413F6">
            <w:pPr>
              <w:pStyle w:val="a4"/>
              <w:numPr>
                <w:ilvl w:val="0"/>
                <w:numId w:val="3"/>
              </w:numPr>
              <w:jc w:val="both"/>
            </w:pPr>
          </w:p>
        </w:tc>
        <w:tc>
          <w:tcPr>
            <w:tcW w:w="6520" w:type="dxa"/>
          </w:tcPr>
          <w:p w:rsidR="00081747" w:rsidRPr="00B64A53" w:rsidRDefault="00081747" w:rsidP="005413F6">
            <w:pPr>
              <w:jc w:val="both"/>
            </w:pPr>
            <w:r w:rsidRPr="00B64A53">
              <w:t>Будет ли в СПО предусмотрена возможность прикрепления данных форм ознакомления?</w:t>
            </w:r>
          </w:p>
          <w:p w:rsidR="00081747" w:rsidRDefault="00081747" w:rsidP="005413F6">
            <w:pPr>
              <w:jc w:val="both"/>
            </w:pPr>
          </w:p>
        </w:tc>
        <w:tc>
          <w:tcPr>
            <w:tcW w:w="7371" w:type="dxa"/>
          </w:tcPr>
          <w:p w:rsidR="00081747" w:rsidRDefault="00081747" w:rsidP="005413F6">
            <w:pPr>
              <w:jc w:val="both"/>
            </w:pPr>
            <w:r>
              <w:t>Да, конечно, будет.</w:t>
            </w:r>
          </w:p>
        </w:tc>
      </w:tr>
      <w:tr w:rsidR="00EC305B" w:rsidTr="00AD7EF2">
        <w:tc>
          <w:tcPr>
            <w:tcW w:w="988" w:type="dxa"/>
          </w:tcPr>
          <w:p w:rsidR="00EC305B" w:rsidRPr="00763872" w:rsidRDefault="00EC305B" w:rsidP="005413F6">
            <w:pPr>
              <w:pStyle w:val="a4"/>
              <w:numPr>
                <w:ilvl w:val="0"/>
                <w:numId w:val="3"/>
              </w:numPr>
              <w:jc w:val="both"/>
            </w:pPr>
          </w:p>
        </w:tc>
        <w:tc>
          <w:tcPr>
            <w:tcW w:w="6520" w:type="dxa"/>
          </w:tcPr>
          <w:p w:rsidR="00EC305B" w:rsidRPr="00B64A53" w:rsidRDefault="00EC305B" w:rsidP="005413F6">
            <w:pPr>
              <w:jc w:val="both"/>
            </w:pPr>
            <w:r>
              <w:t>Прошу более подробно рассказать о СПО. Это ПО, которое не является частью АИС, но не открывает полного входа в АИС НРС?</w:t>
            </w:r>
          </w:p>
        </w:tc>
        <w:tc>
          <w:tcPr>
            <w:tcW w:w="7371" w:type="dxa"/>
          </w:tcPr>
          <w:p w:rsidR="00EC305B" w:rsidRDefault="00EC305B" w:rsidP="005413F6">
            <w:pPr>
              <w:jc w:val="both"/>
            </w:pPr>
            <w:r>
              <w:t>Да, все верно.</w:t>
            </w:r>
          </w:p>
          <w:p w:rsidR="009F513A" w:rsidRDefault="009F513A" w:rsidP="005413F6">
            <w:pPr>
              <w:jc w:val="both"/>
            </w:pPr>
            <w:r w:rsidRPr="005413F6">
              <w:t>СПО – специальное программное обеспечение, которое будет использоваться с целью передачи электронных копий заявлений и приложенных к ним документов от Оператора Ассоциации.</w:t>
            </w:r>
          </w:p>
        </w:tc>
      </w:tr>
      <w:tr w:rsidR="00D70468" w:rsidTr="00AD7EF2">
        <w:tc>
          <w:tcPr>
            <w:tcW w:w="988" w:type="dxa"/>
          </w:tcPr>
          <w:p w:rsidR="00D70468" w:rsidRPr="00763872" w:rsidRDefault="00D70468" w:rsidP="005413F6">
            <w:pPr>
              <w:pStyle w:val="a4"/>
              <w:numPr>
                <w:ilvl w:val="0"/>
                <w:numId w:val="3"/>
              </w:numPr>
              <w:jc w:val="both"/>
            </w:pPr>
          </w:p>
        </w:tc>
        <w:tc>
          <w:tcPr>
            <w:tcW w:w="6520" w:type="dxa"/>
          </w:tcPr>
          <w:p w:rsidR="00D70468" w:rsidRDefault="00D70468" w:rsidP="005413F6">
            <w:pPr>
              <w:jc w:val="both"/>
            </w:pPr>
            <w:r>
              <w:t>С какого периода перестанет работать АИС</w:t>
            </w:r>
            <w:r w:rsidRPr="00E8337C">
              <w:t xml:space="preserve"> </w:t>
            </w:r>
            <w:r>
              <w:t>и когда начнёт работать СПО?</w:t>
            </w:r>
          </w:p>
        </w:tc>
        <w:tc>
          <w:tcPr>
            <w:tcW w:w="7371" w:type="dxa"/>
          </w:tcPr>
          <w:p w:rsidR="00D70468" w:rsidRDefault="00B22C7A" w:rsidP="00B22C7A">
            <w:pPr>
              <w:jc w:val="both"/>
            </w:pPr>
            <w:r w:rsidRPr="00FF59C8">
              <w:t>АИС НРС продолжает работу, но в закрытом для операторов НРС режиме. СПО в настоящее время разрабатывается, переход на работу в СПО будет осуществлен постепенно к декабрю 2020.</w:t>
            </w:r>
          </w:p>
        </w:tc>
      </w:tr>
      <w:tr w:rsidR="00202C9A" w:rsidTr="00AD7EF2">
        <w:tc>
          <w:tcPr>
            <w:tcW w:w="988" w:type="dxa"/>
          </w:tcPr>
          <w:p w:rsidR="00202C9A" w:rsidRPr="00763872" w:rsidRDefault="00202C9A" w:rsidP="005413F6">
            <w:pPr>
              <w:pStyle w:val="a4"/>
              <w:numPr>
                <w:ilvl w:val="0"/>
                <w:numId w:val="3"/>
              </w:numPr>
              <w:jc w:val="both"/>
            </w:pPr>
          </w:p>
        </w:tc>
        <w:tc>
          <w:tcPr>
            <w:tcW w:w="6520" w:type="dxa"/>
          </w:tcPr>
          <w:p w:rsidR="00202C9A" w:rsidRDefault="00202C9A" w:rsidP="005413F6">
            <w:pPr>
              <w:jc w:val="both"/>
            </w:pPr>
            <w:r>
              <w:t>Прошу разъяснить пункт 3.6. Регламента. О каком договоре тогда между Ассоциацией и Оператором идет речь?</w:t>
            </w:r>
          </w:p>
        </w:tc>
        <w:tc>
          <w:tcPr>
            <w:tcW w:w="7371" w:type="dxa"/>
          </w:tcPr>
          <w:p w:rsidR="00202C9A" w:rsidRDefault="00AD1024" w:rsidP="005413F6">
            <w:pPr>
              <w:jc w:val="both"/>
            </w:pPr>
            <w:r>
              <w:t xml:space="preserve">Речь идет о </w:t>
            </w:r>
            <w:r w:rsidR="00202C9A">
              <w:t>Договоре поручения (приложение № 2 к Регламенту).</w:t>
            </w:r>
          </w:p>
        </w:tc>
      </w:tr>
      <w:tr w:rsidR="00851E24" w:rsidTr="00AD7EF2">
        <w:tc>
          <w:tcPr>
            <w:tcW w:w="988" w:type="dxa"/>
          </w:tcPr>
          <w:p w:rsidR="00851E24" w:rsidRPr="00763872" w:rsidRDefault="00851E24" w:rsidP="005413F6">
            <w:pPr>
              <w:pStyle w:val="a4"/>
              <w:numPr>
                <w:ilvl w:val="0"/>
                <w:numId w:val="3"/>
              </w:numPr>
              <w:jc w:val="both"/>
            </w:pPr>
          </w:p>
        </w:tc>
        <w:tc>
          <w:tcPr>
            <w:tcW w:w="6520" w:type="dxa"/>
          </w:tcPr>
          <w:p w:rsidR="00851E24" w:rsidRPr="00851E24" w:rsidRDefault="00851E24" w:rsidP="005413F6">
            <w:pPr>
              <w:jc w:val="both"/>
              <w:rPr>
                <w:bCs/>
              </w:rPr>
            </w:pPr>
            <w:r w:rsidRPr="00851E24">
              <w:rPr>
                <w:bCs/>
              </w:rPr>
              <w:t>СРО, как оператору НРС, необходимо разработать свой Регламент о порядке предоставления документов для НРС на основании Регламента НОСТРОЙ? </w:t>
            </w:r>
          </w:p>
          <w:p w:rsidR="00851E24" w:rsidRPr="00851E24" w:rsidRDefault="00851E24" w:rsidP="005413F6">
            <w:pPr>
              <w:jc w:val="both"/>
              <w:rPr>
                <w:bCs/>
              </w:rPr>
            </w:pPr>
            <w:r w:rsidRPr="00851E24">
              <w:rPr>
                <w:bCs/>
              </w:rPr>
              <w:t>Разработать СРО, опять же, как оператору НРС, Политику об обработке персональных данных?</w:t>
            </w:r>
          </w:p>
          <w:p w:rsidR="00851E24" w:rsidRDefault="00851E24" w:rsidP="005413F6">
            <w:pPr>
              <w:jc w:val="both"/>
            </w:pPr>
          </w:p>
        </w:tc>
        <w:tc>
          <w:tcPr>
            <w:tcW w:w="7371" w:type="dxa"/>
          </w:tcPr>
          <w:p w:rsidR="00851E24" w:rsidRDefault="00851E24" w:rsidP="005413F6">
            <w:pPr>
              <w:jc w:val="both"/>
            </w:pPr>
            <w:r>
              <w:t>Согласн</w:t>
            </w:r>
            <w:r w:rsidR="00C112E6">
              <w:t xml:space="preserve">о </w:t>
            </w:r>
            <w:proofErr w:type="gramStart"/>
            <w:r w:rsidR="00C112E6">
              <w:t xml:space="preserve">Договору </w:t>
            </w:r>
            <w:r>
              <w:t>поручения</w:t>
            </w:r>
            <w:proofErr w:type="gramEnd"/>
            <w:r>
              <w:t xml:space="preserve"> Операторам необходимо будет </w:t>
            </w:r>
            <w:r w:rsidRPr="00506C91">
              <w:rPr>
                <w:rFonts w:eastAsia="Times New Roman"/>
              </w:rPr>
              <w:t xml:space="preserve">утвердить внутренние документы, определяющие политику </w:t>
            </w:r>
            <w:r>
              <w:rPr>
                <w:rFonts w:eastAsia="Times New Roman"/>
              </w:rPr>
              <w:t>Оператора</w:t>
            </w:r>
            <w:r w:rsidRPr="00506C91">
              <w:rPr>
                <w:rFonts w:eastAsia="Times New Roman"/>
              </w:rPr>
              <w:t xml:space="preserve"> в отношении обработки персональных данных, локальные акты по вопросам обработки персональных данных, включая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r w:rsidR="00066EC4">
              <w:rPr>
                <w:rFonts w:eastAsia="Times New Roman"/>
              </w:rPr>
              <w:t>.</w:t>
            </w: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3C4FAE" w:rsidRDefault="00CB48DB" w:rsidP="005413F6">
            <w:pPr>
              <w:jc w:val="both"/>
            </w:pPr>
            <w:r>
              <w:t xml:space="preserve">Нужно ли начинать проводить мероприятия по защите персональных данных, в частности, получать аттестат соответствия требованиям безопасности информации, не ниже 3 уровня защищенности? </w:t>
            </w:r>
          </w:p>
          <w:p w:rsidR="00763872" w:rsidRDefault="00CB48DB" w:rsidP="005413F6">
            <w:pPr>
              <w:jc w:val="both"/>
            </w:pPr>
            <w:r>
              <w:t>Что будет, если такой документ не предоставить?</w:t>
            </w:r>
          </w:p>
          <w:p w:rsidR="00414E88" w:rsidRPr="00763872" w:rsidRDefault="00414E88" w:rsidP="005413F6">
            <w:pPr>
              <w:jc w:val="both"/>
            </w:pPr>
            <w:r>
              <w:t>Где отражен перечень мер по обеспечению безопасности ПД, которые Операторы должны предпринять?</w:t>
            </w:r>
          </w:p>
        </w:tc>
        <w:tc>
          <w:tcPr>
            <w:tcW w:w="7371" w:type="dxa"/>
          </w:tcPr>
          <w:p w:rsidR="00BA59CF" w:rsidRDefault="00BA59CF" w:rsidP="005413F6">
            <w:pPr>
              <w:jc w:val="both"/>
            </w:pPr>
            <w:r w:rsidRPr="00BA59CF">
              <w:t xml:space="preserve">Нет, не нужно. </w:t>
            </w:r>
          </w:p>
          <w:p w:rsidR="00763872" w:rsidRPr="009F513A" w:rsidRDefault="00BA59CF" w:rsidP="005413F6">
            <w:pPr>
              <w:jc w:val="both"/>
              <w:rPr>
                <w:b/>
                <w:sz w:val="28"/>
                <w:szCs w:val="28"/>
              </w:rPr>
            </w:pPr>
            <w:r w:rsidRPr="00BA59CF">
              <w:t>Новое СПО потребует стандартных уровней безопасности</w:t>
            </w:r>
            <w:r w:rsidR="00AB1AD9">
              <w:t>, которое имеется на любом компьютере</w:t>
            </w:r>
            <w:r w:rsidRPr="00BA59CF">
              <w:t xml:space="preserve">, </w:t>
            </w:r>
            <w:r w:rsidR="00D77647">
              <w:t>например,</w:t>
            </w:r>
            <w:r w:rsidR="0027630F">
              <w:t xml:space="preserve"> наличие антивирусной программы и т.п.</w:t>
            </w:r>
          </w:p>
        </w:tc>
      </w:tr>
      <w:tr w:rsidR="00A83AA6" w:rsidTr="00AD7EF2">
        <w:tc>
          <w:tcPr>
            <w:tcW w:w="988" w:type="dxa"/>
          </w:tcPr>
          <w:p w:rsidR="00A83AA6" w:rsidRPr="00763872" w:rsidRDefault="00A83AA6" w:rsidP="005413F6">
            <w:pPr>
              <w:pStyle w:val="a4"/>
              <w:numPr>
                <w:ilvl w:val="0"/>
                <w:numId w:val="3"/>
              </w:numPr>
              <w:jc w:val="both"/>
            </w:pPr>
          </w:p>
        </w:tc>
        <w:tc>
          <w:tcPr>
            <w:tcW w:w="6520" w:type="dxa"/>
          </w:tcPr>
          <w:p w:rsidR="00A83AA6" w:rsidRPr="00A83AA6" w:rsidRDefault="00A83AA6" w:rsidP="005413F6">
            <w:pPr>
              <w:jc w:val="both"/>
            </w:pPr>
            <w:r>
              <w:t>На сколько помнится, ФЗ-152 накладывает требования в той части на операторов при проведении обработки ПД, что без условно происходит в СРО, это защита то</w:t>
            </w:r>
            <w:r w:rsidR="00FB3836">
              <w:t xml:space="preserve">чек входа информации и </w:t>
            </w:r>
            <w:proofErr w:type="gramStart"/>
            <w:r w:rsidR="00FB3836">
              <w:t xml:space="preserve">всю </w:t>
            </w:r>
            <w:r>
              <w:t>сеть</w:t>
            </w:r>
            <w:proofErr w:type="gramEnd"/>
            <w:r>
              <w:t xml:space="preserve"> и цепочку прохождения, что все равно влечет аттестацию по части ФСБ и прочих ведомств, эти моменты так понимаю придется СРО решать самим?</w:t>
            </w:r>
          </w:p>
        </w:tc>
        <w:tc>
          <w:tcPr>
            <w:tcW w:w="7371" w:type="dxa"/>
          </w:tcPr>
          <w:p w:rsidR="00A83AA6" w:rsidRDefault="00A83AA6" w:rsidP="005413F6">
            <w:pPr>
              <w:jc w:val="both"/>
            </w:pPr>
            <w:r w:rsidRPr="00BA59CF">
              <w:t xml:space="preserve">Нет, не нужно. </w:t>
            </w:r>
          </w:p>
          <w:p w:rsidR="00A83AA6" w:rsidRPr="00BA59CF" w:rsidRDefault="00A83AA6" w:rsidP="005413F6">
            <w:pPr>
              <w:jc w:val="both"/>
            </w:pPr>
            <w:r w:rsidRPr="00BA59CF">
              <w:t>Новое СПО потребует стандартных уровней безопасности</w:t>
            </w:r>
            <w:r>
              <w:t>, которое имеется на любом компьютере</w:t>
            </w:r>
            <w:r w:rsidRPr="00BA59CF">
              <w:t xml:space="preserve">, </w:t>
            </w:r>
            <w:r>
              <w:t>например,</w:t>
            </w:r>
            <w:r w:rsidRPr="00BA59CF">
              <w:t xml:space="preserve"> наличие антивирусной программы.</w:t>
            </w:r>
          </w:p>
        </w:tc>
      </w:tr>
      <w:tr w:rsidR="000F48D7" w:rsidTr="00AD7EF2">
        <w:tc>
          <w:tcPr>
            <w:tcW w:w="988" w:type="dxa"/>
          </w:tcPr>
          <w:p w:rsidR="000F48D7" w:rsidRPr="00763872" w:rsidRDefault="000F48D7" w:rsidP="005413F6">
            <w:pPr>
              <w:pStyle w:val="a4"/>
              <w:numPr>
                <w:ilvl w:val="0"/>
                <w:numId w:val="3"/>
              </w:numPr>
              <w:jc w:val="both"/>
            </w:pPr>
          </w:p>
        </w:tc>
        <w:tc>
          <w:tcPr>
            <w:tcW w:w="6520" w:type="dxa"/>
          </w:tcPr>
          <w:p w:rsidR="000F48D7" w:rsidRDefault="000F48D7" w:rsidP="005413F6">
            <w:pPr>
              <w:jc w:val="both"/>
            </w:pPr>
            <w:r>
              <w:t>Верно ли, что если СРО имеет аттестованное рабочее место в соответствии в ФЗ-152 (о защите персональных данных), то такому СРО подавать в НОСТРОЙ заявление о присоединении к договору поручения НЕ ТРЕБУЕТСЯ?</w:t>
            </w:r>
          </w:p>
        </w:tc>
        <w:tc>
          <w:tcPr>
            <w:tcW w:w="7371" w:type="dxa"/>
          </w:tcPr>
          <w:p w:rsidR="000F48D7" w:rsidRDefault="000F48D7" w:rsidP="005413F6">
            <w:pPr>
              <w:jc w:val="both"/>
            </w:pPr>
            <w:r>
              <w:t>Нет, не верно.</w:t>
            </w:r>
          </w:p>
          <w:p w:rsidR="000F48D7" w:rsidRPr="00BA59CF" w:rsidRDefault="00D41A6B" w:rsidP="005413F6">
            <w:pPr>
              <w:jc w:val="both"/>
            </w:pPr>
            <w:r>
              <w:t>Все О</w:t>
            </w:r>
            <w:r w:rsidR="000F48D7">
              <w:t>ператоры, планирующие продолжать деятельность в качестве Операторов НРС, должны направить заявление на присоединение к Договору поручения до 03.10.2020.</w:t>
            </w: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763872" w:rsidRPr="00763872" w:rsidRDefault="00B21510" w:rsidP="005413F6">
            <w:pPr>
              <w:jc w:val="both"/>
            </w:pPr>
            <w:r>
              <w:t>Какие документы</w:t>
            </w:r>
            <w:r w:rsidR="008733F1">
              <w:t xml:space="preserve"> получит оператор после отправления Согласия на присоединение к Договору поручения?</w:t>
            </w:r>
          </w:p>
        </w:tc>
        <w:tc>
          <w:tcPr>
            <w:tcW w:w="7371" w:type="dxa"/>
          </w:tcPr>
          <w:p w:rsidR="00763872" w:rsidRPr="00D70F94" w:rsidRDefault="00D70F94" w:rsidP="005413F6">
            <w:pPr>
              <w:jc w:val="both"/>
              <w:rPr>
                <w:b/>
                <w:sz w:val="28"/>
                <w:szCs w:val="28"/>
              </w:rPr>
            </w:pPr>
            <w:r w:rsidRPr="00D70F94">
              <w:t>Доверенность, подписанную Президентом Ассоциации</w:t>
            </w:r>
          </w:p>
        </w:tc>
      </w:tr>
      <w:tr w:rsidR="00225EC1" w:rsidTr="00AD7EF2">
        <w:tc>
          <w:tcPr>
            <w:tcW w:w="988" w:type="dxa"/>
          </w:tcPr>
          <w:p w:rsidR="00225EC1" w:rsidRPr="00763872" w:rsidRDefault="00225EC1" w:rsidP="005413F6">
            <w:pPr>
              <w:pStyle w:val="a4"/>
              <w:numPr>
                <w:ilvl w:val="0"/>
                <w:numId w:val="3"/>
              </w:numPr>
              <w:jc w:val="both"/>
            </w:pPr>
          </w:p>
        </w:tc>
        <w:tc>
          <w:tcPr>
            <w:tcW w:w="6520" w:type="dxa"/>
          </w:tcPr>
          <w:p w:rsidR="00225EC1" w:rsidRDefault="00225EC1" w:rsidP="005413F6">
            <w:pPr>
              <w:jc w:val="both"/>
            </w:pPr>
            <w:r>
              <w:t>Каким образом будет "выдаваться" доверенность? Нарочно?</w:t>
            </w:r>
          </w:p>
        </w:tc>
        <w:tc>
          <w:tcPr>
            <w:tcW w:w="7371" w:type="dxa"/>
          </w:tcPr>
          <w:p w:rsidR="00225EC1" w:rsidRPr="00FF59C8" w:rsidRDefault="002C530A" w:rsidP="00C23E84">
            <w:pPr>
              <w:jc w:val="both"/>
            </w:pPr>
            <w:r w:rsidRPr="00FF59C8">
              <w:t xml:space="preserve">Доверенность будет </w:t>
            </w:r>
            <w:r w:rsidR="00C23E84" w:rsidRPr="00FF59C8">
              <w:t xml:space="preserve">направлена в СРО после поступления от нее </w:t>
            </w:r>
            <w:r w:rsidR="00C23E84" w:rsidRPr="00FF59C8">
              <w:rPr>
                <w:b/>
              </w:rPr>
              <w:t>оригинала</w:t>
            </w:r>
            <w:r w:rsidR="00C23E84" w:rsidRPr="00FF59C8">
              <w:t xml:space="preserve"> заявления.</w:t>
            </w:r>
          </w:p>
        </w:tc>
      </w:tr>
      <w:tr w:rsidR="00E90A2F" w:rsidTr="00AD7EF2">
        <w:tc>
          <w:tcPr>
            <w:tcW w:w="988" w:type="dxa"/>
          </w:tcPr>
          <w:p w:rsidR="00E90A2F" w:rsidRPr="00763872" w:rsidRDefault="00E90A2F" w:rsidP="005413F6">
            <w:pPr>
              <w:pStyle w:val="a4"/>
              <w:numPr>
                <w:ilvl w:val="0"/>
                <w:numId w:val="3"/>
              </w:numPr>
              <w:jc w:val="both"/>
            </w:pPr>
          </w:p>
        </w:tc>
        <w:tc>
          <w:tcPr>
            <w:tcW w:w="6520" w:type="dxa"/>
          </w:tcPr>
          <w:p w:rsidR="00E90A2F" w:rsidRDefault="00E90A2F" w:rsidP="005413F6">
            <w:pPr>
              <w:jc w:val="both"/>
            </w:pPr>
            <w:r>
              <w:t>Когда Ассоциация будет высылать договор поручения?</w:t>
            </w:r>
          </w:p>
          <w:p w:rsidR="007B3AD6" w:rsidRDefault="007B3AD6" w:rsidP="005413F6">
            <w:pPr>
              <w:jc w:val="both"/>
            </w:pPr>
            <w:r w:rsidRPr="007B3AD6">
              <w:t>Кто будет подписывать договор поручения от имени Ассоциации?</w:t>
            </w:r>
          </w:p>
        </w:tc>
        <w:tc>
          <w:tcPr>
            <w:tcW w:w="7371" w:type="dxa"/>
          </w:tcPr>
          <w:p w:rsidR="00722A6A" w:rsidRPr="00FF59C8" w:rsidRDefault="00722A6A" w:rsidP="005413F6">
            <w:pPr>
              <w:jc w:val="both"/>
            </w:pPr>
            <w:r w:rsidRPr="00FF59C8">
              <w:t>Правовая конструкция не предполагает подписания Договора. «Подписание» Договора осуществляется путем направления заявления на присоединение.</w:t>
            </w:r>
          </w:p>
          <w:p w:rsidR="00E90A2F" w:rsidRPr="00FF59C8" w:rsidRDefault="00722A6A" w:rsidP="004D0699">
            <w:pPr>
              <w:jc w:val="both"/>
            </w:pPr>
            <w:r w:rsidRPr="00FF59C8">
              <w:t>Договор включен в состав Регламента и</w:t>
            </w:r>
            <w:r w:rsidR="004D0699" w:rsidRPr="00FF59C8">
              <w:t xml:space="preserve"> является его неотъемлемой</w:t>
            </w:r>
            <w:r w:rsidRPr="00FF59C8">
              <w:t xml:space="preserve"> частью.</w:t>
            </w:r>
          </w:p>
        </w:tc>
      </w:tr>
      <w:tr w:rsidR="00202C9A" w:rsidTr="00AD7EF2">
        <w:tc>
          <w:tcPr>
            <w:tcW w:w="988" w:type="dxa"/>
          </w:tcPr>
          <w:p w:rsidR="00202C9A" w:rsidRPr="00763872" w:rsidRDefault="00202C9A" w:rsidP="005413F6">
            <w:pPr>
              <w:pStyle w:val="a4"/>
              <w:numPr>
                <w:ilvl w:val="0"/>
                <w:numId w:val="3"/>
              </w:numPr>
              <w:jc w:val="both"/>
            </w:pPr>
          </w:p>
        </w:tc>
        <w:tc>
          <w:tcPr>
            <w:tcW w:w="6520" w:type="dxa"/>
          </w:tcPr>
          <w:p w:rsidR="00202C9A" w:rsidRDefault="00202C9A" w:rsidP="005413F6">
            <w:pPr>
              <w:jc w:val="both"/>
            </w:pPr>
            <w:r>
              <w:t>Добрый день! подскажите где взять формы документов на получение статуса Оператора?</w:t>
            </w:r>
          </w:p>
        </w:tc>
        <w:tc>
          <w:tcPr>
            <w:tcW w:w="7371" w:type="dxa"/>
          </w:tcPr>
          <w:p w:rsidR="009F513A" w:rsidRPr="00FF59C8" w:rsidRDefault="00AE332A" w:rsidP="005413F6">
            <w:pPr>
              <w:jc w:val="both"/>
            </w:pPr>
            <w:r w:rsidRPr="00FF59C8">
              <w:t>Д</w:t>
            </w:r>
            <w:r w:rsidR="009F513A" w:rsidRPr="00FF59C8">
              <w:t xml:space="preserve">окументы размещены на сайте </w:t>
            </w:r>
            <w:hyperlink r:id="rId7" w:history="1">
              <w:r w:rsidRPr="00FF59C8">
                <w:rPr>
                  <w:rStyle w:val="a6"/>
                </w:rPr>
                <w:t>http://nostroy.ru/nacreestrspec/sro-operatory-natsionalnogo-reestra-spetsialistov-v-oblasti-stroitelstva/</w:t>
              </w:r>
            </w:hyperlink>
          </w:p>
          <w:p w:rsidR="00AE332A" w:rsidRPr="00FF59C8" w:rsidRDefault="00AE332A" w:rsidP="005413F6">
            <w:pPr>
              <w:jc w:val="both"/>
            </w:pPr>
          </w:p>
        </w:tc>
      </w:tr>
      <w:tr w:rsidR="00C973ED" w:rsidTr="00AD7EF2">
        <w:tc>
          <w:tcPr>
            <w:tcW w:w="988" w:type="dxa"/>
          </w:tcPr>
          <w:p w:rsidR="00C973ED" w:rsidRPr="00763872" w:rsidRDefault="00C973ED" w:rsidP="005413F6">
            <w:pPr>
              <w:pStyle w:val="a4"/>
              <w:numPr>
                <w:ilvl w:val="0"/>
                <w:numId w:val="3"/>
              </w:numPr>
              <w:jc w:val="both"/>
            </w:pPr>
          </w:p>
        </w:tc>
        <w:tc>
          <w:tcPr>
            <w:tcW w:w="6520" w:type="dxa"/>
          </w:tcPr>
          <w:p w:rsidR="00C973ED" w:rsidRDefault="00C973ED" w:rsidP="005413F6">
            <w:pPr>
              <w:jc w:val="both"/>
            </w:pPr>
            <w:r>
              <w:t xml:space="preserve">Если СРО не стало оператором, </w:t>
            </w:r>
            <w:proofErr w:type="gramStart"/>
            <w:r>
              <w:t>то</w:t>
            </w:r>
            <w:proofErr w:type="gramEnd"/>
            <w:r>
              <w:t xml:space="preserve"> когда можно обратиться с заявительными документами в рамках договора поручения и получения статуса оператора?</w:t>
            </w:r>
          </w:p>
        </w:tc>
        <w:tc>
          <w:tcPr>
            <w:tcW w:w="7371" w:type="dxa"/>
          </w:tcPr>
          <w:p w:rsidR="009B5276" w:rsidRPr="00FF59C8" w:rsidRDefault="009B5276" w:rsidP="005413F6">
            <w:pPr>
              <w:jc w:val="both"/>
            </w:pPr>
            <w:r w:rsidRPr="00FF59C8">
              <w:t xml:space="preserve">СРО, не имеющие полномочий Оператора НРС, вправе в </w:t>
            </w:r>
            <w:r w:rsidR="00E8036B">
              <w:t>л</w:t>
            </w:r>
            <w:bookmarkStart w:id="0" w:name="_GoBack"/>
            <w:bookmarkEnd w:id="0"/>
            <w:r w:rsidRPr="00FF59C8">
              <w:t>юбое время обратиться в Ассоциацию с заявлением о присоединении к Договору поручения (</w:t>
            </w:r>
            <w:hyperlink r:id="rId8" w:history="1">
              <w:r w:rsidRPr="00FF59C8">
                <w:rPr>
                  <w:rStyle w:val="a6"/>
                </w:rPr>
                <w:t>http://nostroy.ru/nacreestrspec/sro-operatory-natsionalnogo-reestra-spetsialistov-v-oblasti-stroitelstva/</w:t>
              </w:r>
            </w:hyperlink>
            <w:r w:rsidRPr="00FF59C8">
              <w:t>).</w:t>
            </w:r>
          </w:p>
          <w:p w:rsidR="009B5276" w:rsidRPr="00FF59C8" w:rsidRDefault="009B5276" w:rsidP="005413F6">
            <w:pPr>
              <w:jc w:val="both"/>
            </w:pPr>
            <w:r w:rsidRPr="00FF59C8">
              <w:t>В случае если СРО по той или иной причине лишена полномочий Оператора, она вправе обратиться с заявлением не ранее чем через полгода с даты лишения полномочий</w:t>
            </w:r>
            <w:r w:rsidR="007110DE" w:rsidRPr="00FF59C8">
              <w:t xml:space="preserve"> (ли раньше, в случае наличия ходатайства Совета Ассоциации).</w:t>
            </w:r>
          </w:p>
        </w:tc>
      </w:tr>
      <w:tr w:rsidR="00FB6B39" w:rsidTr="00AD7EF2">
        <w:tc>
          <w:tcPr>
            <w:tcW w:w="988" w:type="dxa"/>
          </w:tcPr>
          <w:p w:rsidR="00FB6B39" w:rsidRPr="00763872" w:rsidRDefault="00FB6B39" w:rsidP="005413F6">
            <w:pPr>
              <w:pStyle w:val="a4"/>
              <w:numPr>
                <w:ilvl w:val="0"/>
                <w:numId w:val="3"/>
              </w:numPr>
              <w:jc w:val="both"/>
            </w:pPr>
          </w:p>
        </w:tc>
        <w:tc>
          <w:tcPr>
            <w:tcW w:w="6520" w:type="dxa"/>
          </w:tcPr>
          <w:p w:rsidR="00FB6B39" w:rsidRDefault="00FB6B39" w:rsidP="005413F6">
            <w:pPr>
              <w:jc w:val="both"/>
            </w:pPr>
            <w:r>
              <w:t xml:space="preserve">Расширения полномочий Операторов в Регламенте? В чем? </w:t>
            </w:r>
          </w:p>
        </w:tc>
        <w:tc>
          <w:tcPr>
            <w:tcW w:w="7371" w:type="dxa"/>
          </w:tcPr>
          <w:p w:rsidR="00FB6B39" w:rsidRPr="00FF59C8" w:rsidRDefault="00FB6B39" w:rsidP="005413F6">
            <w:pPr>
              <w:jc w:val="both"/>
            </w:pPr>
            <w:r w:rsidRPr="00FF59C8">
              <w:t>Операторы самостоятельно будут проводить формальную экспертизу документов, поступающих от заявителей, а также несут ответственность за ненадлежащее исполнение своих обязанностей.</w:t>
            </w:r>
          </w:p>
        </w:tc>
      </w:tr>
      <w:tr w:rsidR="0017205A" w:rsidTr="00AD7EF2">
        <w:tc>
          <w:tcPr>
            <w:tcW w:w="988" w:type="dxa"/>
          </w:tcPr>
          <w:p w:rsidR="0017205A" w:rsidRPr="00763872" w:rsidRDefault="0017205A" w:rsidP="005413F6">
            <w:pPr>
              <w:pStyle w:val="a4"/>
              <w:numPr>
                <w:ilvl w:val="0"/>
                <w:numId w:val="3"/>
              </w:numPr>
              <w:jc w:val="both"/>
            </w:pPr>
          </w:p>
        </w:tc>
        <w:tc>
          <w:tcPr>
            <w:tcW w:w="6520" w:type="dxa"/>
          </w:tcPr>
          <w:p w:rsidR="0017205A" w:rsidRDefault="0017205A" w:rsidP="005413F6">
            <w:pPr>
              <w:jc w:val="both"/>
            </w:pPr>
            <w:r>
              <w:t>Каким образом Ассоциация будет уведомлять оператора о ненадлежащем исполнении функций последнего и будет ли в Регламенте прописаны критерии ненадлежащего исполнения?</w:t>
            </w:r>
          </w:p>
          <w:p w:rsidR="0017205A" w:rsidRDefault="0017205A" w:rsidP="005413F6">
            <w:pPr>
              <w:jc w:val="both"/>
            </w:pPr>
          </w:p>
        </w:tc>
        <w:tc>
          <w:tcPr>
            <w:tcW w:w="7371" w:type="dxa"/>
          </w:tcPr>
          <w:p w:rsidR="0017205A" w:rsidRPr="00FF59C8" w:rsidRDefault="0017205A" w:rsidP="005413F6">
            <w:pPr>
              <w:jc w:val="both"/>
            </w:pPr>
            <w:r w:rsidRPr="00FF59C8">
              <w:t xml:space="preserve">Посредством </w:t>
            </w:r>
            <w:r w:rsidR="003E7DFD" w:rsidRPr="00FF59C8">
              <w:t>письменного уведомления.</w:t>
            </w:r>
          </w:p>
          <w:p w:rsidR="001167BD" w:rsidRPr="00FF59C8" w:rsidRDefault="001167BD" w:rsidP="005413F6">
            <w:pPr>
              <w:jc w:val="both"/>
            </w:pPr>
          </w:p>
          <w:p w:rsidR="001167BD" w:rsidRPr="00FF59C8" w:rsidRDefault="001167BD" w:rsidP="005413F6">
            <w:pPr>
              <w:jc w:val="both"/>
            </w:pPr>
            <w:r w:rsidRPr="00FF59C8">
              <w:t>Прекращение полномочий Оператора:</w:t>
            </w:r>
          </w:p>
          <w:p w:rsidR="001167BD" w:rsidRPr="00FF59C8" w:rsidRDefault="001167BD" w:rsidP="005413F6">
            <w:pPr>
              <w:jc w:val="both"/>
            </w:pPr>
            <w:r w:rsidRPr="00FF59C8">
              <w:lastRenderedPageBreak/>
              <w:t>Систематическое ненадлежащее исполнение полномочий, установленных пунктом 3.3. (2 и более раз, после соответствующих официальных уведомлений со стороны Ассоциации)</w:t>
            </w:r>
          </w:p>
        </w:tc>
      </w:tr>
      <w:tr w:rsidR="00C258A0" w:rsidTr="00AD7EF2">
        <w:tc>
          <w:tcPr>
            <w:tcW w:w="988" w:type="dxa"/>
          </w:tcPr>
          <w:p w:rsidR="00C258A0" w:rsidRPr="00763872" w:rsidRDefault="00C258A0" w:rsidP="005413F6">
            <w:pPr>
              <w:pStyle w:val="a4"/>
              <w:numPr>
                <w:ilvl w:val="0"/>
                <w:numId w:val="3"/>
              </w:numPr>
              <w:jc w:val="both"/>
            </w:pPr>
          </w:p>
        </w:tc>
        <w:tc>
          <w:tcPr>
            <w:tcW w:w="6520" w:type="dxa"/>
          </w:tcPr>
          <w:p w:rsidR="00C258A0" w:rsidRDefault="00C258A0" w:rsidP="005413F6">
            <w:pPr>
              <w:jc w:val="both"/>
            </w:pPr>
            <w:r>
              <w:t>Формальная экспертиза - оператор проводит сверку лицензии ВУЗов? при проверке дипломов и ОКВЭД организации с трудовой?  Есть ли допуск оператора к сайтам (программам) в данном направлении экспертизы?</w:t>
            </w:r>
          </w:p>
        </w:tc>
        <w:tc>
          <w:tcPr>
            <w:tcW w:w="7371" w:type="dxa"/>
          </w:tcPr>
          <w:p w:rsidR="00C258A0" w:rsidRDefault="00C258A0" w:rsidP="005413F6">
            <w:pPr>
              <w:jc w:val="both"/>
            </w:pPr>
            <w:r>
              <w:t>Нет, не проводит, это относится к углубленной проверке документов.</w:t>
            </w:r>
          </w:p>
        </w:tc>
      </w:tr>
      <w:tr w:rsidR="00A9284D" w:rsidTr="00AD7EF2">
        <w:tc>
          <w:tcPr>
            <w:tcW w:w="988" w:type="dxa"/>
          </w:tcPr>
          <w:p w:rsidR="00A9284D" w:rsidRPr="00763872" w:rsidRDefault="00A9284D" w:rsidP="005413F6">
            <w:pPr>
              <w:pStyle w:val="a4"/>
              <w:numPr>
                <w:ilvl w:val="0"/>
                <w:numId w:val="3"/>
              </w:numPr>
              <w:jc w:val="both"/>
            </w:pPr>
          </w:p>
        </w:tc>
        <w:tc>
          <w:tcPr>
            <w:tcW w:w="6520" w:type="dxa"/>
          </w:tcPr>
          <w:p w:rsidR="00A9284D" w:rsidRDefault="00A9284D" w:rsidP="005413F6">
            <w:pPr>
              <w:jc w:val="both"/>
            </w:pPr>
            <w:r w:rsidRPr="00A9284D">
              <w:t>Углубленная проверка в отношении всех или выборочно? Если выборочно, то какие критерии?</w:t>
            </w:r>
          </w:p>
        </w:tc>
        <w:tc>
          <w:tcPr>
            <w:tcW w:w="7371" w:type="dxa"/>
          </w:tcPr>
          <w:p w:rsidR="00A9284D" w:rsidRDefault="00A9284D" w:rsidP="005413F6">
            <w:pPr>
              <w:jc w:val="both"/>
            </w:pPr>
            <w:r w:rsidRPr="00A9284D">
              <w:t>Углубленная проверка</w:t>
            </w:r>
            <w:r>
              <w:t xml:space="preserve"> проводится выборочно.</w:t>
            </w:r>
          </w:p>
          <w:p w:rsidR="00A9284D" w:rsidRDefault="00A9284D" w:rsidP="005413F6">
            <w:pPr>
              <w:jc w:val="both"/>
            </w:pPr>
            <w:r>
              <w:t>Комиссия утверждает перечень</w:t>
            </w:r>
            <w:r w:rsidRPr="002E1851">
              <w:t xml:space="preserve"> </w:t>
            </w:r>
            <w:r>
              <w:t>физических лиц</w:t>
            </w:r>
            <w:r w:rsidRPr="002E1851">
              <w:t xml:space="preserve">, включенных </w:t>
            </w:r>
            <w:r>
              <w:t xml:space="preserve">в </w:t>
            </w:r>
            <w:r w:rsidRPr="002E1851">
              <w:t>Реестр специалистов, сведения о которы</w:t>
            </w:r>
            <w:r>
              <w:t>х подлежат углубленной проверке согласно п.2.3.4 Регламента.</w:t>
            </w:r>
          </w:p>
        </w:tc>
      </w:tr>
      <w:tr w:rsidR="00B4045B" w:rsidTr="00AD7EF2">
        <w:tc>
          <w:tcPr>
            <w:tcW w:w="988" w:type="dxa"/>
          </w:tcPr>
          <w:p w:rsidR="00B4045B" w:rsidRPr="00763872" w:rsidRDefault="00B4045B" w:rsidP="005413F6">
            <w:pPr>
              <w:pStyle w:val="a4"/>
              <w:numPr>
                <w:ilvl w:val="0"/>
                <w:numId w:val="3"/>
              </w:numPr>
              <w:jc w:val="both"/>
            </w:pPr>
          </w:p>
        </w:tc>
        <w:tc>
          <w:tcPr>
            <w:tcW w:w="6520" w:type="dxa"/>
          </w:tcPr>
          <w:p w:rsidR="00B4045B" w:rsidRDefault="00B4045B" w:rsidP="005413F6">
            <w:pPr>
              <w:jc w:val="both"/>
            </w:pPr>
            <w:r w:rsidRPr="00B4045B">
              <w:t>Сроки проведения экспертизы документов.</w:t>
            </w:r>
          </w:p>
        </w:tc>
        <w:tc>
          <w:tcPr>
            <w:tcW w:w="7371" w:type="dxa"/>
          </w:tcPr>
          <w:p w:rsidR="00B4045B" w:rsidRDefault="00B4045B" w:rsidP="005413F6">
            <w:pPr>
              <w:jc w:val="both"/>
            </w:pPr>
            <w:r>
              <w:t>14 календарных дней</w:t>
            </w:r>
          </w:p>
        </w:tc>
      </w:tr>
      <w:tr w:rsidR="003C4FAE" w:rsidRPr="00DC4DB6" w:rsidTr="00AD7EF2">
        <w:tc>
          <w:tcPr>
            <w:tcW w:w="988" w:type="dxa"/>
          </w:tcPr>
          <w:p w:rsidR="003C4FAE" w:rsidRPr="00763872" w:rsidRDefault="003C4FAE" w:rsidP="005413F6">
            <w:pPr>
              <w:pStyle w:val="a4"/>
              <w:numPr>
                <w:ilvl w:val="0"/>
                <w:numId w:val="3"/>
              </w:numPr>
              <w:jc w:val="both"/>
            </w:pPr>
          </w:p>
        </w:tc>
        <w:tc>
          <w:tcPr>
            <w:tcW w:w="6520" w:type="dxa"/>
          </w:tcPr>
          <w:p w:rsidR="00D47152" w:rsidRPr="00D47152" w:rsidRDefault="00D47152" w:rsidP="005413F6">
            <w:pPr>
              <w:jc w:val="both"/>
            </w:pPr>
            <w:r w:rsidRPr="00D47152">
              <w:t>Копию должностной инструкции отправлять на каждого специалиста или как дополнительный документ, если в трудовой книжке не понятна должность?  Ранее прикладывали выписку из должностной инструкции сейчас выписку отправлять можно или только копию должностной инструкции?</w:t>
            </w:r>
          </w:p>
          <w:p w:rsidR="003C4FAE" w:rsidRPr="00763872" w:rsidRDefault="003C4FAE" w:rsidP="005413F6">
            <w:pPr>
              <w:jc w:val="both"/>
            </w:pPr>
          </w:p>
        </w:tc>
        <w:tc>
          <w:tcPr>
            <w:tcW w:w="7371" w:type="dxa"/>
          </w:tcPr>
          <w:p w:rsidR="003C4FAE" w:rsidRDefault="00D47152" w:rsidP="005413F6">
            <w:pPr>
              <w:jc w:val="both"/>
            </w:pPr>
            <w:r>
              <w:t xml:space="preserve">Должностная инструкция предоставляется в полном объеме, а не выписка. Особенно, если в трудовой книжке есть такие должности, как, </w:t>
            </w:r>
            <w:proofErr w:type="gramStart"/>
            <w:r>
              <w:t>например</w:t>
            </w:r>
            <w:proofErr w:type="gramEnd"/>
            <w:r>
              <w:t>:</w:t>
            </w:r>
          </w:p>
          <w:p w:rsidR="00D47152" w:rsidRDefault="00D47152" w:rsidP="005413F6">
            <w:pPr>
              <w:jc w:val="both"/>
            </w:pPr>
            <w:r>
              <w:t>специалист</w:t>
            </w:r>
          </w:p>
          <w:p w:rsidR="00D47152" w:rsidRDefault="00D47152" w:rsidP="005413F6">
            <w:pPr>
              <w:jc w:val="both"/>
            </w:pPr>
            <w:r>
              <w:t>ведущий специалист</w:t>
            </w:r>
          </w:p>
          <w:p w:rsidR="00D47152" w:rsidRDefault="00D47152" w:rsidP="005413F6">
            <w:pPr>
              <w:jc w:val="both"/>
            </w:pPr>
            <w:r>
              <w:t>главный специалист</w:t>
            </w:r>
          </w:p>
          <w:p w:rsidR="00D47152" w:rsidRDefault="00D47152" w:rsidP="005413F6">
            <w:pPr>
              <w:jc w:val="both"/>
            </w:pPr>
            <w:r>
              <w:t>эксперт</w:t>
            </w:r>
          </w:p>
          <w:p w:rsidR="00D47152" w:rsidRPr="00D47152" w:rsidRDefault="00F0601C" w:rsidP="005413F6">
            <w:pPr>
              <w:jc w:val="both"/>
            </w:pPr>
            <w:r>
              <w:t>инспектор и т.п</w:t>
            </w:r>
            <w:r w:rsidR="00D47152">
              <w:t>.</w:t>
            </w:r>
          </w:p>
        </w:tc>
      </w:tr>
      <w:tr w:rsidR="00DC4DB6" w:rsidRPr="00DC4DB6" w:rsidTr="00AD7EF2">
        <w:tc>
          <w:tcPr>
            <w:tcW w:w="988" w:type="dxa"/>
          </w:tcPr>
          <w:p w:rsidR="00DC4DB6" w:rsidRPr="00763872" w:rsidRDefault="00DC4DB6" w:rsidP="005413F6">
            <w:pPr>
              <w:pStyle w:val="a4"/>
              <w:numPr>
                <w:ilvl w:val="0"/>
                <w:numId w:val="3"/>
              </w:numPr>
              <w:jc w:val="both"/>
            </w:pPr>
          </w:p>
        </w:tc>
        <w:tc>
          <w:tcPr>
            <w:tcW w:w="6520" w:type="dxa"/>
          </w:tcPr>
          <w:p w:rsidR="00DC4DB6" w:rsidRPr="00FF59C8" w:rsidRDefault="00DC4DB6" w:rsidP="005413F6">
            <w:pPr>
              <w:jc w:val="both"/>
            </w:pPr>
            <w:r w:rsidRPr="00FF59C8">
              <w:t>Почему в Регламенте не прописан раздел подачи вторичного заявления в случае отказа заявителю?</w:t>
            </w:r>
          </w:p>
          <w:p w:rsidR="00DC4DB6" w:rsidRPr="00FF59C8" w:rsidRDefault="00DC4DB6" w:rsidP="005413F6">
            <w:pPr>
              <w:jc w:val="both"/>
            </w:pPr>
          </w:p>
        </w:tc>
        <w:tc>
          <w:tcPr>
            <w:tcW w:w="7371" w:type="dxa"/>
          </w:tcPr>
          <w:p w:rsidR="00DC4DB6" w:rsidRPr="00FF59C8" w:rsidRDefault="00DC4DB6" w:rsidP="005413F6">
            <w:pPr>
              <w:jc w:val="both"/>
            </w:pPr>
            <w:r w:rsidRPr="00FF59C8">
              <w:t>Потому что это не предусмотрено законодательством.</w:t>
            </w:r>
          </w:p>
          <w:p w:rsidR="00410DFE" w:rsidRPr="00FF59C8" w:rsidRDefault="00410DFE" w:rsidP="005413F6">
            <w:pPr>
              <w:jc w:val="both"/>
            </w:pPr>
            <w:r w:rsidRPr="00FF59C8">
              <w:t>В случае отказа теперь необходимо предоставлять новый полный комплект заявительных документов.</w:t>
            </w:r>
          </w:p>
        </w:tc>
      </w:tr>
      <w:tr w:rsidR="00815885" w:rsidRPr="00DC4DB6" w:rsidTr="00AD7EF2">
        <w:tc>
          <w:tcPr>
            <w:tcW w:w="988" w:type="dxa"/>
          </w:tcPr>
          <w:p w:rsidR="00815885" w:rsidRPr="00763872" w:rsidRDefault="00815885" w:rsidP="005413F6">
            <w:pPr>
              <w:pStyle w:val="a4"/>
              <w:numPr>
                <w:ilvl w:val="0"/>
                <w:numId w:val="3"/>
              </w:numPr>
              <w:jc w:val="both"/>
            </w:pPr>
          </w:p>
        </w:tc>
        <w:tc>
          <w:tcPr>
            <w:tcW w:w="6520" w:type="dxa"/>
          </w:tcPr>
          <w:p w:rsidR="00815885" w:rsidRPr="00FF59C8" w:rsidRDefault="00815885" w:rsidP="005413F6">
            <w:pPr>
              <w:jc w:val="both"/>
            </w:pPr>
            <w:r w:rsidRPr="00FF59C8">
              <w:t>Почему в Регламенте не предусмотрена возможность информирования Оператора НРС об отмене решения Комиссии о внесении сведений в НРС (при выявлении недостоверных сведений)? Это будет способствовать качественной работе саморегулируемых организаций.</w:t>
            </w:r>
          </w:p>
          <w:p w:rsidR="00815885" w:rsidRPr="00FF59C8" w:rsidRDefault="00815885" w:rsidP="005413F6">
            <w:pPr>
              <w:jc w:val="both"/>
            </w:pPr>
          </w:p>
        </w:tc>
        <w:tc>
          <w:tcPr>
            <w:tcW w:w="7371" w:type="dxa"/>
          </w:tcPr>
          <w:p w:rsidR="00815885" w:rsidRPr="00FF59C8" w:rsidRDefault="00556E52" w:rsidP="00556E52">
            <w:pPr>
              <w:jc w:val="both"/>
            </w:pPr>
            <w:r w:rsidRPr="00FF59C8">
              <w:t xml:space="preserve">В настоящее время ведется разработка </w:t>
            </w:r>
            <w:r w:rsidR="00815885" w:rsidRPr="00FF59C8">
              <w:t>СПО.</w:t>
            </w:r>
          </w:p>
          <w:p w:rsidR="00556E52" w:rsidRPr="00FF59C8" w:rsidRDefault="00556E52" w:rsidP="00556E52">
            <w:pPr>
              <w:jc w:val="both"/>
            </w:pPr>
            <w:r w:rsidRPr="00FF59C8">
              <w:t>Обсуждается вопрос по информированию Операторов НРС о принятом решении.</w:t>
            </w:r>
          </w:p>
        </w:tc>
      </w:tr>
      <w:tr w:rsidR="003C4FAE" w:rsidTr="00AD7EF2">
        <w:tc>
          <w:tcPr>
            <w:tcW w:w="988" w:type="dxa"/>
          </w:tcPr>
          <w:p w:rsidR="003C4FAE" w:rsidRPr="00763872" w:rsidRDefault="003C4FAE" w:rsidP="005413F6">
            <w:pPr>
              <w:pStyle w:val="a4"/>
              <w:numPr>
                <w:ilvl w:val="0"/>
                <w:numId w:val="3"/>
              </w:numPr>
              <w:jc w:val="both"/>
            </w:pPr>
          </w:p>
        </w:tc>
        <w:tc>
          <w:tcPr>
            <w:tcW w:w="6520" w:type="dxa"/>
          </w:tcPr>
          <w:p w:rsidR="003C4FAE" w:rsidRPr="00763872" w:rsidRDefault="00B56F33" w:rsidP="005413F6">
            <w:pPr>
              <w:jc w:val="both"/>
            </w:pPr>
            <w:r w:rsidRPr="00B56F33">
              <w:rPr>
                <w:bCs/>
              </w:rPr>
              <w:t>Заявление о внесении изменений</w:t>
            </w:r>
            <w:r w:rsidRPr="00B56F33">
              <w:t xml:space="preserve"> как отправлять (только почтой России, на электронную почту или можно через АИС в сообщении)?</w:t>
            </w:r>
          </w:p>
        </w:tc>
        <w:tc>
          <w:tcPr>
            <w:tcW w:w="7371" w:type="dxa"/>
          </w:tcPr>
          <w:p w:rsidR="003C4FAE" w:rsidRDefault="00B56F33" w:rsidP="005413F6">
            <w:pPr>
              <w:jc w:val="both"/>
              <w:rPr>
                <w:b/>
                <w:sz w:val="28"/>
                <w:szCs w:val="28"/>
              </w:rPr>
            </w:pPr>
            <w:r w:rsidRPr="00B56F33">
              <w:rPr>
                <w:bCs/>
              </w:rPr>
              <w:t>Заявление о внесении изменений</w:t>
            </w:r>
            <w:r w:rsidRPr="00B56F33">
              <w:t xml:space="preserve"> отправлять </w:t>
            </w:r>
            <w:r>
              <w:t>почтой России или курьерскими службами.</w:t>
            </w:r>
          </w:p>
        </w:tc>
      </w:tr>
      <w:tr w:rsidR="003C4FAE" w:rsidTr="00AD7EF2">
        <w:tc>
          <w:tcPr>
            <w:tcW w:w="988" w:type="dxa"/>
          </w:tcPr>
          <w:p w:rsidR="003C4FAE" w:rsidRPr="00763872" w:rsidRDefault="003C4FAE" w:rsidP="005413F6">
            <w:pPr>
              <w:pStyle w:val="a4"/>
              <w:numPr>
                <w:ilvl w:val="0"/>
                <w:numId w:val="3"/>
              </w:numPr>
              <w:jc w:val="both"/>
            </w:pPr>
          </w:p>
        </w:tc>
        <w:tc>
          <w:tcPr>
            <w:tcW w:w="6520" w:type="dxa"/>
          </w:tcPr>
          <w:p w:rsidR="003C4FAE" w:rsidRPr="00E426D6" w:rsidRDefault="00E426D6" w:rsidP="005413F6">
            <w:pPr>
              <w:jc w:val="both"/>
            </w:pPr>
            <w:r w:rsidRPr="00E426D6">
              <w:rPr>
                <w:bCs/>
              </w:rPr>
              <w:t xml:space="preserve">Методика идентификации и оценки соответствия высшего образования </w:t>
            </w:r>
            <w:r w:rsidRPr="00E426D6">
              <w:t>- как считать общую трудоемкость ключевых дисциплин?</w:t>
            </w:r>
          </w:p>
        </w:tc>
        <w:tc>
          <w:tcPr>
            <w:tcW w:w="7371" w:type="dxa"/>
          </w:tcPr>
          <w:p w:rsidR="003C4FAE" w:rsidRDefault="00E426D6" w:rsidP="005413F6">
            <w:pPr>
              <w:jc w:val="both"/>
              <w:rPr>
                <w:b/>
                <w:sz w:val="28"/>
                <w:szCs w:val="28"/>
              </w:rPr>
            </w:pPr>
            <w:r>
              <w:t>Т</w:t>
            </w:r>
            <w:r w:rsidRPr="00E426D6">
              <w:t>рудоемкость ключевых дисциплин</w:t>
            </w:r>
            <w:r>
              <w:t xml:space="preserve"> выражается в зачетных единицах</w:t>
            </w:r>
            <w:r w:rsidR="00CB4E94">
              <w:t xml:space="preserve"> (</w:t>
            </w:r>
            <w:proofErr w:type="spellStart"/>
            <w:r w:rsidR="00CB4E94">
              <w:t>з.е</w:t>
            </w:r>
            <w:proofErr w:type="spellEnd"/>
            <w:r w:rsidR="00CB4E94">
              <w:t>.)</w:t>
            </w:r>
            <w:r>
              <w:t xml:space="preserve"> с 2015 года, а до этого периода времени в часах. </w:t>
            </w:r>
          </w:p>
        </w:tc>
      </w:tr>
      <w:tr w:rsidR="00AD1024" w:rsidTr="00AD7EF2">
        <w:tc>
          <w:tcPr>
            <w:tcW w:w="988" w:type="dxa"/>
          </w:tcPr>
          <w:p w:rsidR="00AD1024" w:rsidRPr="00763872" w:rsidRDefault="00AD1024" w:rsidP="005413F6">
            <w:pPr>
              <w:pStyle w:val="a4"/>
              <w:numPr>
                <w:ilvl w:val="0"/>
                <w:numId w:val="3"/>
              </w:numPr>
              <w:jc w:val="both"/>
            </w:pPr>
          </w:p>
        </w:tc>
        <w:tc>
          <w:tcPr>
            <w:tcW w:w="6520" w:type="dxa"/>
          </w:tcPr>
          <w:p w:rsidR="00AD1024" w:rsidRPr="00AD1024" w:rsidRDefault="00AD1024" w:rsidP="005413F6">
            <w:pPr>
              <w:jc w:val="both"/>
            </w:pPr>
            <w:r>
              <w:t>По какому принципу осуществлять проверку приложения к диплому, помеченному &lt;**&gt;?</w:t>
            </w:r>
          </w:p>
        </w:tc>
        <w:tc>
          <w:tcPr>
            <w:tcW w:w="7371" w:type="dxa"/>
          </w:tcPr>
          <w:p w:rsidR="00AD1024" w:rsidRDefault="00AD1024" w:rsidP="005413F6">
            <w:pPr>
              <w:jc w:val="both"/>
            </w:pPr>
            <w:r>
              <w:rPr>
                <w:spacing w:val="-4"/>
                <w:szCs w:val="28"/>
              </w:rPr>
              <w:t>Нужно использовать</w:t>
            </w:r>
            <w:r w:rsidRPr="00CC3E51">
              <w:rPr>
                <w:spacing w:val="-4"/>
                <w:szCs w:val="28"/>
              </w:rPr>
              <w:t xml:space="preserve"> Методику идентификации и оценки соответствия высшего (профессионального) образования для осуществления профессиональной деятельности в области строительства (приложение №</w:t>
            </w:r>
            <w:r>
              <w:rPr>
                <w:spacing w:val="-4"/>
                <w:szCs w:val="28"/>
              </w:rPr>
              <w:t xml:space="preserve"> </w:t>
            </w:r>
            <w:r w:rsidRPr="00CC3E51">
              <w:rPr>
                <w:spacing w:val="-4"/>
                <w:szCs w:val="28"/>
              </w:rPr>
              <w:t>15</w:t>
            </w:r>
            <w:r>
              <w:rPr>
                <w:spacing w:val="-4"/>
                <w:szCs w:val="28"/>
              </w:rPr>
              <w:t xml:space="preserve"> к Регламенту</w:t>
            </w:r>
            <w:r w:rsidRPr="00CC3E51">
              <w:rPr>
                <w:spacing w:val="-4"/>
                <w:szCs w:val="28"/>
              </w:rPr>
              <w:t>)</w:t>
            </w:r>
            <w:r>
              <w:rPr>
                <w:spacing w:val="-4"/>
                <w:szCs w:val="28"/>
              </w:rPr>
              <w:t>.</w:t>
            </w:r>
          </w:p>
        </w:tc>
      </w:tr>
      <w:tr w:rsidR="004A025B" w:rsidTr="00AD7EF2">
        <w:tc>
          <w:tcPr>
            <w:tcW w:w="988" w:type="dxa"/>
          </w:tcPr>
          <w:p w:rsidR="004A025B" w:rsidRPr="00763872" w:rsidRDefault="004A025B" w:rsidP="005413F6">
            <w:pPr>
              <w:pStyle w:val="a4"/>
              <w:numPr>
                <w:ilvl w:val="0"/>
                <w:numId w:val="3"/>
              </w:numPr>
              <w:jc w:val="both"/>
            </w:pPr>
          </w:p>
        </w:tc>
        <w:tc>
          <w:tcPr>
            <w:tcW w:w="6520" w:type="dxa"/>
          </w:tcPr>
          <w:p w:rsidR="004A025B" w:rsidRPr="00793AEF" w:rsidRDefault="004A025B" w:rsidP="005413F6">
            <w:pPr>
              <w:jc w:val="both"/>
              <w:rPr>
                <w:bCs/>
              </w:rPr>
            </w:pPr>
            <w:r w:rsidRPr="00793AEF">
              <w:rPr>
                <w:bCs/>
              </w:rPr>
              <w:t>Почему Исполнительная дирекция Ассоциации «НОСТРОЙ» не решает вопрос о появлении Приказа Минстроя с обновленным Перечнем направлений подготовки, специальностей, в целях внесения сведений в НРС?</w:t>
            </w:r>
          </w:p>
        </w:tc>
        <w:tc>
          <w:tcPr>
            <w:tcW w:w="7371" w:type="dxa"/>
          </w:tcPr>
          <w:p w:rsidR="004A025B" w:rsidRPr="00FF59C8" w:rsidRDefault="002A0DB9" w:rsidP="005413F6">
            <w:pPr>
              <w:jc w:val="both"/>
              <w:rPr>
                <w:bCs/>
              </w:rPr>
            </w:pPr>
            <w:r w:rsidRPr="00FF59C8">
              <w:rPr>
                <w:bCs/>
              </w:rPr>
              <w:t>В июне 2020 года Ассоциация после опубликования проекта Приказа Минстроя России по расширению Перечня направлений подготовки, специальностей провела значительную работу совместно с координаторами и всеми СРО по внесению в него изменений и дополнений. Сам проект Приказа был подготовлен Минстроем России с учетом предложений Ассоциации, которые регулярно направлялись в 2018, 2019 и 2020 годах.</w:t>
            </w:r>
          </w:p>
          <w:p w:rsidR="00A341BC" w:rsidRPr="0039468D" w:rsidRDefault="00A341BC" w:rsidP="005413F6">
            <w:pPr>
              <w:jc w:val="both"/>
              <w:rPr>
                <w:bCs/>
              </w:rPr>
            </w:pPr>
            <w:r w:rsidRPr="00FF59C8">
              <w:rPr>
                <w:bCs/>
              </w:rPr>
              <w:t xml:space="preserve">В настоящее время проект Приказа согласован в </w:t>
            </w:r>
            <w:proofErr w:type="spellStart"/>
            <w:r w:rsidRPr="00FF59C8">
              <w:rPr>
                <w:bCs/>
              </w:rPr>
              <w:t>Минобрнауки</w:t>
            </w:r>
            <w:proofErr w:type="spellEnd"/>
            <w:r w:rsidRPr="00FF59C8">
              <w:rPr>
                <w:bCs/>
              </w:rPr>
              <w:t xml:space="preserve"> России и Минобороны России и находится на согласовании в </w:t>
            </w:r>
            <w:proofErr w:type="spellStart"/>
            <w:r w:rsidRPr="00FF59C8">
              <w:rPr>
                <w:bCs/>
              </w:rPr>
              <w:t>Минэкономразвитии</w:t>
            </w:r>
            <w:proofErr w:type="spellEnd"/>
            <w:r w:rsidRPr="00FF59C8">
              <w:rPr>
                <w:bCs/>
              </w:rPr>
              <w:t xml:space="preserve"> России</w:t>
            </w:r>
            <w:r w:rsidR="0039468D" w:rsidRPr="00FF59C8">
              <w:rPr>
                <w:bCs/>
              </w:rPr>
              <w:t>. Подписание ожидается в октябре, после чего Приказ будет направлен на регистрацию в Минюст России.</w:t>
            </w:r>
          </w:p>
        </w:tc>
      </w:tr>
      <w:tr w:rsidR="00793AEF" w:rsidTr="00AD7EF2">
        <w:tc>
          <w:tcPr>
            <w:tcW w:w="988" w:type="dxa"/>
          </w:tcPr>
          <w:p w:rsidR="00793AEF" w:rsidRPr="00763872" w:rsidRDefault="00793AEF" w:rsidP="005413F6">
            <w:pPr>
              <w:pStyle w:val="a4"/>
              <w:numPr>
                <w:ilvl w:val="0"/>
                <w:numId w:val="3"/>
              </w:numPr>
              <w:jc w:val="both"/>
            </w:pPr>
          </w:p>
        </w:tc>
        <w:tc>
          <w:tcPr>
            <w:tcW w:w="6520" w:type="dxa"/>
          </w:tcPr>
          <w:p w:rsidR="00793AEF" w:rsidRPr="00793AEF" w:rsidRDefault="00793AEF" w:rsidP="005413F6">
            <w:pPr>
              <w:tabs>
                <w:tab w:val="left" w:pos="851"/>
              </w:tabs>
              <w:spacing w:line="276" w:lineRule="auto"/>
              <w:jc w:val="both"/>
              <w:rPr>
                <w:bCs/>
              </w:rPr>
            </w:pPr>
            <w:r w:rsidRPr="00793AEF">
              <w:rPr>
                <w:bCs/>
              </w:rPr>
              <w:t>Какие документы (какими органами выданные), помимо справки о наличии (отсутствии судимости) либо о прекращении уголовного преследования, должен представить заявитель для подтверждения сведений об отсутствии у него непогашенной или неснятой судимости в зависимости от назначенного вида наказания (ст. 44 УК РФ)?</w:t>
            </w:r>
          </w:p>
        </w:tc>
        <w:tc>
          <w:tcPr>
            <w:tcW w:w="7371" w:type="dxa"/>
          </w:tcPr>
          <w:p w:rsidR="00793AEF" w:rsidRDefault="00793AEF" w:rsidP="005413F6">
            <w:pPr>
              <w:jc w:val="both"/>
              <w:rPr>
                <w:bCs/>
              </w:rPr>
            </w:pPr>
            <w:r w:rsidRPr="00793AEF">
              <w:rPr>
                <w:bCs/>
              </w:rPr>
              <w:t xml:space="preserve">Если справка о наличии (отсутствии) судимости содержит записи о судимости и вынесении наказания в виде штрафа, требуется представить документ, подтверждающий исполнение наказания (снятие судимости) </w:t>
            </w:r>
            <w:r w:rsidR="00AF3DB4">
              <w:rPr>
                <w:bCs/>
              </w:rPr>
              <w:t>- к</w:t>
            </w:r>
            <w:r w:rsidRPr="00793AEF">
              <w:rPr>
                <w:bCs/>
              </w:rPr>
              <w:t>опия квитанции об оплате штрафа и/или постановления судебного пристава-исполнителя об окончании исполнительного производства</w:t>
            </w:r>
            <w:r>
              <w:rPr>
                <w:bCs/>
              </w:rPr>
              <w:t>.</w:t>
            </w:r>
          </w:p>
          <w:p w:rsidR="00436FCC" w:rsidRDefault="004B74D9" w:rsidP="005413F6">
            <w:pPr>
              <w:jc w:val="both"/>
              <w:rPr>
                <w:bCs/>
              </w:rPr>
            </w:pPr>
            <w:hyperlink r:id="rId9" w:history="1">
              <w:r w:rsidR="00436FCC" w:rsidRPr="00B14990">
                <w:rPr>
                  <w:rStyle w:val="a6"/>
                  <w:bCs/>
                </w:rPr>
                <w:t>http://nostroy.ru/nacreestrspec/memo_applicant/</w:t>
              </w:r>
            </w:hyperlink>
          </w:p>
          <w:p w:rsidR="00436FCC" w:rsidRPr="00793AEF" w:rsidRDefault="00436FCC" w:rsidP="005413F6">
            <w:pPr>
              <w:jc w:val="both"/>
              <w:rPr>
                <w:bCs/>
              </w:rPr>
            </w:pPr>
          </w:p>
        </w:tc>
      </w:tr>
      <w:tr w:rsidR="003C4FAE" w:rsidTr="00AD7EF2">
        <w:tc>
          <w:tcPr>
            <w:tcW w:w="988" w:type="dxa"/>
          </w:tcPr>
          <w:p w:rsidR="003C4FAE" w:rsidRPr="00763872" w:rsidRDefault="003C4FAE" w:rsidP="005413F6">
            <w:pPr>
              <w:pStyle w:val="a4"/>
              <w:numPr>
                <w:ilvl w:val="0"/>
                <w:numId w:val="3"/>
              </w:numPr>
              <w:jc w:val="both"/>
            </w:pPr>
          </w:p>
        </w:tc>
        <w:tc>
          <w:tcPr>
            <w:tcW w:w="6520" w:type="dxa"/>
          </w:tcPr>
          <w:p w:rsidR="004618A0" w:rsidRPr="004618A0" w:rsidRDefault="004618A0" w:rsidP="005413F6">
            <w:pPr>
              <w:pStyle w:val="a4"/>
              <w:ind w:left="0"/>
              <w:jc w:val="both"/>
              <w:rPr>
                <w:bCs/>
              </w:rPr>
            </w:pPr>
            <w:r w:rsidRPr="004618A0">
              <w:rPr>
                <w:bCs/>
              </w:rPr>
              <w:t xml:space="preserve">При определении соответствия Заявителя требованиям, определенным п.2 и п.3 ч.6 ст.55.5-1 </w:t>
            </w:r>
            <w:proofErr w:type="spellStart"/>
            <w:r w:rsidRPr="004618A0">
              <w:rPr>
                <w:bCs/>
              </w:rPr>
              <w:t>ГрК</w:t>
            </w:r>
            <w:proofErr w:type="spellEnd"/>
            <w:r w:rsidRPr="004618A0">
              <w:rPr>
                <w:bCs/>
              </w:rPr>
              <w:t xml:space="preserve"> РФ в отношении стажа Заявителей в строительной отрасли, Ассоциация НОСТРОЙ опирается на выписки из ЕГРЮЛ по организациям, в которых работал Заявитель в периоды своей трудовой деятельности. </w:t>
            </w:r>
          </w:p>
          <w:p w:rsidR="004618A0" w:rsidRPr="00404335" w:rsidRDefault="004618A0" w:rsidP="005413F6">
            <w:pPr>
              <w:pStyle w:val="a4"/>
              <w:ind w:left="0"/>
              <w:jc w:val="both"/>
              <w:rPr>
                <w:bCs/>
              </w:rPr>
            </w:pPr>
            <w:r w:rsidRPr="004618A0">
              <w:rPr>
                <w:bCs/>
              </w:rPr>
              <w:lastRenderedPageBreak/>
              <w:t>Однако только в 2003 году вступил в силу Федеральный закон № 185-ФЗ от 23.12.2003 г., устанавливающий требование о внесении ОКВЭД в ЕГРЮЛ.</w:t>
            </w:r>
          </w:p>
          <w:p w:rsidR="003C4FAE" w:rsidRPr="004618A0" w:rsidRDefault="004618A0" w:rsidP="005413F6">
            <w:pPr>
              <w:pStyle w:val="a4"/>
              <w:ind w:left="0"/>
              <w:jc w:val="both"/>
              <w:rPr>
                <w:bCs/>
              </w:rPr>
            </w:pPr>
            <w:r w:rsidRPr="004618A0">
              <w:rPr>
                <w:bCs/>
              </w:rPr>
              <w:t>Просим разъяснить, каким образом в таких ситуациях физическое лицо может подтвердить факт осуществл</w:t>
            </w:r>
            <w:r>
              <w:rPr>
                <w:bCs/>
              </w:rPr>
              <w:t>ения строительной деятельности?</w:t>
            </w:r>
          </w:p>
        </w:tc>
        <w:tc>
          <w:tcPr>
            <w:tcW w:w="7371" w:type="dxa"/>
          </w:tcPr>
          <w:p w:rsidR="003C4FAE" w:rsidRDefault="0050309E" w:rsidP="005413F6">
            <w:pPr>
              <w:jc w:val="both"/>
              <w:rPr>
                <w:b/>
                <w:sz w:val="28"/>
                <w:szCs w:val="28"/>
              </w:rPr>
            </w:pPr>
            <w:r w:rsidRPr="0050309E">
              <w:rPr>
                <w:bCs/>
              </w:rPr>
              <w:lastRenderedPageBreak/>
              <w:t xml:space="preserve">Дополнительно можно предоставить </w:t>
            </w:r>
            <w:r>
              <w:rPr>
                <w:bCs/>
              </w:rPr>
              <w:t>лицензию</w:t>
            </w:r>
            <w:r w:rsidR="003875DA">
              <w:rPr>
                <w:bCs/>
              </w:rPr>
              <w:t xml:space="preserve"> работодателя, подтверждающую</w:t>
            </w:r>
            <w:r w:rsidRPr="0050309E">
              <w:rPr>
                <w:bCs/>
              </w:rPr>
              <w:t xml:space="preserve"> до 01.01.2010 право на строительство зданий и сооружений, в соответствии с Федеральным законом от 08.08.2001 № 128-ФЗ «О лицензировании отдельных видов деятельности»</w:t>
            </w:r>
            <w:r>
              <w:rPr>
                <w:bCs/>
              </w:rPr>
              <w:t xml:space="preserve">, а также </w:t>
            </w:r>
            <w:r w:rsidR="009B5759">
              <w:rPr>
                <w:bCs/>
              </w:rPr>
              <w:t xml:space="preserve">Устав организации, </w:t>
            </w:r>
            <w:r>
              <w:rPr>
                <w:bCs/>
              </w:rPr>
              <w:t>сп</w:t>
            </w:r>
            <w:r w:rsidR="00404335">
              <w:rPr>
                <w:bCs/>
              </w:rPr>
              <w:t>равку из Росстата и т.п.</w:t>
            </w:r>
          </w:p>
        </w:tc>
      </w:tr>
      <w:tr w:rsidR="003C4FAE" w:rsidTr="00AD7EF2">
        <w:tc>
          <w:tcPr>
            <w:tcW w:w="988" w:type="dxa"/>
          </w:tcPr>
          <w:p w:rsidR="003C4FAE" w:rsidRPr="00763872" w:rsidRDefault="003C4FAE" w:rsidP="005413F6">
            <w:pPr>
              <w:pStyle w:val="a4"/>
              <w:numPr>
                <w:ilvl w:val="0"/>
                <w:numId w:val="3"/>
              </w:numPr>
              <w:jc w:val="both"/>
            </w:pPr>
          </w:p>
        </w:tc>
        <w:tc>
          <w:tcPr>
            <w:tcW w:w="6520" w:type="dxa"/>
          </w:tcPr>
          <w:p w:rsidR="003C4FAE" w:rsidRPr="00FF59C8" w:rsidRDefault="002E150B" w:rsidP="005413F6">
            <w:pPr>
              <w:jc w:val="both"/>
            </w:pPr>
            <w:r w:rsidRPr="00FF59C8">
              <w:t>Добрый день! Может ли СРО запрашивать уведомления о включении в НРС и кому они будут приходить на почту?</w:t>
            </w:r>
          </w:p>
        </w:tc>
        <w:tc>
          <w:tcPr>
            <w:tcW w:w="7371" w:type="dxa"/>
          </w:tcPr>
          <w:p w:rsidR="003C4FAE" w:rsidRPr="00FF59C8" w:rsidRDefault="002E150B" w:rsidP="0043314B">
            <w:pPr>
              <w:jc w:val="both"/>
              <w:rPr>
                <w:b/>
                <w:sz w:val="28"/>
                <w:szCs w:val="28"/>
              </w:rPr>
            </w:pPr>
            <w:r w:rsidRPr="00FF59C8">
              <w:rPr>
                <w:bCs/>
              </w:rPr>
              <w:t xml:space="preserve">СРО </w:t>
            </w:r>
            <w:r w:rsidR="0043314B" w:rsidRPr="00FF59C8">
              <w:rPr>
                <w:bCs/>
              </w:rPr>
              <w:t xml:space="preserve">не </w:t>
            </w:r>
            <w:r w:rsidRPr="00FF59C8">
              <w:rPr>
                <w:bCs/>
              </w:rPr>
              <w:t>может запрашивать уведомление</w:t>
            </w:r>
            <w:r w:rsidR="0043314B" w:rsidRPr="00FF59C8">
              <w:rPr>
                <w:bCs/>
              </w:rPr>
              <w:t xml:space="preserve">, так как оно направляется только на </w:t>
            </w:r>
            <w:proofErr w:type="spellStart"/>
            <w:r w:rsidR="0043314B" w:rsidRPr="00FF59C8">
              <w:rPr>
                <w:bCs/>
              </w:rPr>
              <w:t>эл.почту</w:t>
            </w:r>
            <w:proofErr w:type="spellEnd"/>
            <w:r w:rsidR="0043314B" w:rsidRPr="00FF59C8">
              <w:rPr>
                <w:bCs/>
              </w:rPr>
              <w:t xml:space="preserve"> специалиста НРС, указанную в заявлении.</w:t>
            </w:r>
          </w:p>
        </w:tc>
      </w:tr>
      <w:tr w:rsidR="00E426D6" w:rsidTr="00AD7EF2">
        <w:tc>
          <w:tcPr>
            <w:tcW w:w="988" w:type="dxa"/>
          </w:tcPr>
          <w:p w:rsidR="00E426D6" w:rsidRPr="00763872" w:rsidRDefault="00E426D6" w:rsidP="005413F6">
            <w:pPr>
              <w:pStyle w:val="a4"/>
              <w:numPr>
                <w:ilvl w:val="0"/>
                <w:numId w:val="3"/>
              </w:numPr>
              <w:jc w:val="both"/>
            </w:pPr>
          </w:p>
        </w:tc>
        <w:tc>
          <w:tcPr>
            <w:tcW w:w="6520" w:type="dxa"/>
          </w:tcPr>
          <w:p w:rsidR="00E426D6" w:rsidRPr="00FF59C8" w:rsidRDefault="00E04709" w:rsidP="005413F6">
            <w:pPr>
              <w:jc w:val="both"/>
            </w:pPr>
            <w:r w:rsidRPr="00FF59C8">
              <w:t>Добрый день! Возврат заявительных документов за чей счет осуществляется?</w:t>
            </w:r>
          </w:p>
        </w:tc>
        <w:tc>
          <w:tcPr>
            <w:tcW w:w="7371" w:type="dxa"/>
          </w:tcPr>
          <w:p w:rsidR="00D769A2" w:rsidRPr="00FF59C8" w:rsidRDefault="00D769A2" w:rsidP="00D769A2">
            <w:pPr>
              <w:jc w:val="both"/>
            </w:pPr>
            <w:r w:rsidRPr="00FF59C8">
              <w:t xml:space="preserve">При поступлении заявительных документов через Оператора и в случае несоответствия такого заявления и приложенных к нему документов требованиям пунктов 6.5, 6.6 и 6.7 Регламента, СРО возвращает указанные документы по </w:t>
            </w:r>
            <w:r w:rsidR="004A1626" w:rsidRPr="00FF59C8">
              <w:t>своему месту нахождению.</w:t>
            </w:r>
          </w:p>
          <w:p w:rsidR="004A1626" w:rsidRPr="00FF59C8" w:rsidRDefault="004A1626" w:rsidP="00D769A2">
            <w:pPr>
              <w:jc w:val="both"/>
            </w:pPr>
            <w:r w:rsidRPr="00FF59C8">
              <w:t>Если подача заявительных документов осуществлялась непосредственно в Ассоциацию, то возврат заявительных документов происходит по месту нахождения Ассоциации.</w:t>
            </w:r>
          </w:p>
        </w:tc>
      </w:tr>
      <w:tr w:rsidR="00E426D6" w:rsidTr="00AD7EF2">
        <w:tc>
          <w:tcPr>
            <w:tcW w:w="988" w:type="dxa"/>
          </w:tcPr>
          <w:p w:rsidR="00E426D6" w:rsidRPr="00763872" w:rsidRDefault="00E426D6" w:rsidP="005413F6">
            <w:pPr>
              <w:pStyle w:val="a4"/>
              <w:numPr>
                <w:ilvl w:val="0"/>
                <w:numId w:val="3"/>
              </w:numPr>
              <w:jc w:val="both"/>
            </w:pPr>
          </w:p>
        </w:tc>
        <w:tc>
          <w:tcPr>
            <w:tcW w:w="6520" w:type="dxa"/>
          </w:tcPr>
          <w:p w:rsidR="00E426D6" w:rsidRPr="00763872" w:rsidRDefault="00BB4C95" w:rsidP="005413F6">
            <w:pPr>
              <w:jc w:val="both"/>
            </w:pPr>
            <w:r>
              <w:t>А кто и как будет оценивать содержание Приложения к диплому с точки зрения соответствия специальности, отмеченной *?</w:t>
            </w:r>
          </w:p>
        </w:tc>
        <w:tc>
          <w:tcPr>
            <w:tcW w:w="7371" w:type="dxa"/>
          </w:tcPr>
          <w:p w:rsidR="00E426D6" w:rsidRDefault="00BB4C95" w:rsidP="005413F6">
            <w:pPr>
              <w:jc w:val="both"/>
              <w:rPr>
                <w:b/>
                <w:sz w:val="28"/>
                <w:szCs w:val="28"/>
              </w:rPr>
            </w:pPr>
            <w:r w:rsidRPr="00BB4C95">
              <w:t>Документы рассматриваются на заседаниях Комиссии по веден</w:t>
            </w:r>
            <w:r w:rsidR="009F513A">
              <w:t xml:space="preserve">ию НРС </w:t>
            </w:r>
            <w:r w:rsidR="009F513A" w:rsidRPr="005413F6">
              <w:t>на основании Методики идентификации и оценки соответствия высшего (профессионального) образования для осуществления профессиональной деятельности в области строительства (приложение № 15 к Регламенту).</w:t>
            </w:r>
          </w:p>
        </w:tc>
      </w:tr>
      <w:tr w:rsidR="00E426D6" w:rsidTr="00AD7EF2">
        <w:tc>
          <w:tcPr>
            <w:tcW w:w="988" w:type="dxa"/>
          </w:tcPr>
          <w:p w:rsidR="00E426D6" w:rsidRPr="00763872" w:rsidRDefault="00E426D6" w:rsidP="005413F6">
            <w:pPr>
              <w:pStyle w:val="a4"/>
              <w:numPr>
                <w:ilvl w:val="0"/>
                <w:numId w:val="3"/>
              </w:numPr>
              <w:jc w:val="both"/>
            </w:pPr>
          </w:p>
        </w:tc>
        <w:tc>
          <w:tcPr>
            <w:tcW w:w="6520" w:type="dxa"/>
          </w:tcPr>
          <w:p w:rsidR="00E426D6" w:rsidRPr="00763872" w:rsidRDefault="006B0364" w:rsidP="005413F6">
            <w:pPr>
              <w:jc w:val="both"/>
            </w:pPr>
            <w:r>
              <w:t>Добрый день! Если вынесено решение об отказе во включении в НРС до 04.09.2020 года, то начиная с сегодняшнего числа, специалист, которому ранее было отказано, должен собрать пакет документов снова, с учетом новое редакции регламента?</w:t>
            </w:r>
          </w:p>
        </w:tc>
        <w:tc>
          <w:tcPr>
            <w:tcW w:w="7371" w:type="dxa"/>
          </w:tcPr>
          <w:p w:rsidR="003875DA" w:rsidRDefault="006B0364" w:rsidP="005413F6">
            <w:pPr>
              <w:jc w:val="both"/>
            </w:pPr>
            <w:r w:rsidRPr="006B0364">
              <w:t xml:space="preserve">Переходный период </w:t>
            </w:r>
            <w:r>
              <w:t xml:space="preserve">составляет </w:t>
            </w:r>
            <w:r w:rsidRPr="006B0364">
              <w:t xml:space="preserve">до 03.10.2020. </w:t>
            </w:r>
          </w:p>
          <w:p w:rsidR="00E426D6" w:rsidRPr="006B0364" w:rsidRDefault="006B0364" w:rsidP="005413F6">
            <w:pPr>
              <w:jc w:val="both"/>
            </w:pPr>
            <w:r w:rsidRPr="006B0364">
              <w:t xml:space="preserve">С </w:t>
            </w:r>
            <w:r>
              <w:t>04.10.2020 по неполному пакету документов будет вынесено отрицательное решение.</w:t>
            </w:r>
          </w:p>
        </w:tc>
      </w:tr>
      <w:tr w:rsidR="00E426D6" w:rsidTr="00AD7EF2">
        <w:tc>
          <w:tcPr>
            <w:tcW w:w="988" w:type="dxa"/>
          </w:tcPr>
          <w:p w:rsidR="00E426D6" w:rsidRPr="00763872" w:rsidRDefault="00E426D6" w:rsidP="005413F6">
            <w:pPr>
              <w:pStyle w:val="a4"/>
              <w:numPr>
                <w:ilvl w:val="0"/>
                <w:numId w:val="3"/>
              </w:numPr>
              <w:jc w:val="both"/>
            </w:pPr>
          </w:p>
        </w:tc>
        <w:tc>
          <w:tcPr>
            <w:tcW w:w="6520" w:type="dxa"/>
          </w:tcPr>
          <w:p w:rsidR="00E426D6" w:rsidRPr="00763872" w:rsidRDefault="00FA4D0C" w:rsidP="005413F6">
            <w:pPr>
              <w:jc w:val="both"/>
            </w:pPr>
            <w:r>
              <w:t>Подскажите пожалуйста, при повторном рассмотрении, что значит предоставлять новый полный пакет документов?</w:t>
            </w:r>
          </w:p>
        </w:tc>
        <w:tc>
          <w:tcPr>
            <w:tcW w:w="7371" w:type="dxa"/>
          </w:tcPr>
          <w:p w:rsidR="00E426D6" w:rsidRDefault="00FA4D0C" w:rsidP="005413F6">
            <w:pPr>
              <w:jc w:val="both"/>
              <w:rPr>
                <w:b/>
                <w:sz w:val="28"/>
                <w:szCs w:val="28"/>
              </w:rPr>
            </w:pPr>
            <w:r>
              <w:t>Нужно собирать новый полный пакет документов, как при первичной подаче.</w:t>
            </w:r>
          </w:p>
        </w:tc>
      </w:tr>
      <w:tr w:rsidR="00661D8B" w:rsidTr="00AD7EF2">
        <w:tc>
          <w:tcPr>
            <w:tcW w:w="988" w:type="dxa"/>
          </w:tcPr>
          <w:p w:rsidR="00661D8B" w:rsidRPr="00763872" w:rsidRDefault="00661D8B" w:rsidP="005413F6">
            <w:pPr>
              <w:pStyle w:val="a4"/>
              <w:numPr>
                <w:ilvl w:val="0"/>
                <w:numId w:val="3"/>
              </w:numPr>
              <w:jc w:val="both"/>
            </w:pPr>
          </w:p>
        </w:tc>
        <w:tc>
          <w:tcPr>
            <w:tcW w:w="6520" w:type="dxa"/>
          </w:tcPr>
          <w:p w:rsidR="00661D8B" w:rsidRDefault="00661D8B" w:rsidP="005413F6">
            <w:pPr>
              <w:jc w:val="both"/>
            </w:pPr>
            <w:r>
              <w:t>Пожалуйста, дайте разъяснение по вопросу - повторной/вторичной подачи документов при отказе во внесении. Я правильно понимаю: </w:t>
            </w:r>
          </w:p>
          <w:p w:rsidR="00661D8B" w:rsidRDefault="00661D8B" w:rsidP="005413F6">
            <w:pPr>
              <w:jc w:val="both"/>
            </w:pPr>
            <w:r>
              <w:t>-что потребуется подавать полный комплект документов? </w:t>
            </w:r>
          </w:p>
          <w:p w:rsidR="00661D8B" w:rsidRDefault="00661D8B" w:rsidP="005413F6">
            <w:pPr>
              <w:jc w:val="both"/>
            </w:pPr>
            <w:r>
              <w:lastRenderedPageBreak/>
              <w:t xml:space="preserve">- а что с документами, которые направлялись ранее и в заявлении, заявитель делал </w:t>
            </w:r>
            <w:proofErr w:type="gramStart"/>
            <w:r>
              <w:t>отметку ,</w:t>
            </w:r>
            <w:proofErr w:type="gramEnd"/>
            <w:r>
              <w:t xml:space="preserve"> что дает согласие на хранение? </w:t>
            </w:r>
          </w:p>
        </w:tc>
        <w:tc>
          <w:tcPr>
            <w:tcW w:w="7371" w:type="dxa"/>
          </w:tcPr>
          <w:p w:rsidR="00661D8B" w:rsidRDefault="00661D8B" w:rsidP="005413F6">
            <w:pPr>
              <w:jc w:val="both"/>
            </w:pPr>
            <w:r>
              <w:lastRenderedPageBreak/>
              <w:t>Да, необходимо подать новый полный пакет документов.</w:t>
            </w:r>
          </w:p>
          <w:p w:rsidR="00661D8B" w:rsidRDefault="00661D8B" w:rsidP="005413F6">
            <w:pPr>
              <w:jc w:val="both"/>
            </w:pPr>
            <w:r>
              <w:t>Все документы хранятся в архиве Ассоциации.</w:t>
            </w:r>
          </w:p>
        </w:tc>
      </w:tr>
      <w:tr w:rsidR="00FA4D0C" w:rsidTr="00AD7EF2">
        <w:tc>
          <w:tcPr>
            <w:tcW w:w="988" w:type="dxa"/>
          </w:tcPr>
          <w:p w:rsidR="00FA4D0C" w:rsidRPr="00763872" w:rsidRDefault="00FA4D0C" w:rsidP="005413F6">
            <w:pPr>
              <w:pStyle w:val="a4"/>
              <w:numPr>
                <w:ilvl w:val="0"/>
                <w:numId w:val="3"/>
              </w:numPr>
              <w:jc w:val="both"/>
            </w:pPr>
          </w:p>
        </w:tc>
        <w:tc>
          <w:tcPr>
            <w:tcW w:w="6520" w:type="dxa"/>
          </w:tcPr>
          <w:p w:rsidR="00FA4D0C" w:rsidRDefault="003875DA" w:rsidP="005413F6">
            <w:pPr>
              <w:jc w:val="both"/>
            </w:pPr>
            <w:r>
              <w:t>Требуется ли по новому Р</w:t>
            </w:r>
            <w:r w:rsidR="00946DA5">
              <w:t>егламенту при получении отказа от НОСТРОЙ о внесении специалиста в НРС направлять оригиналы документов в НОСТРОЙ? </w:t>
            </w:r>
          </w:p>
          <w:p w:rsidR="00577FCD" w:rsidRPr="00763872" w:rsidRDefault="00577FCD" w:rsidP="005413F6">
            <w:pPr>
              <w:jc w:val="both"/>
            </w:pPr>
            <w:r>
              <w:t>В случае, если получен отказ, но бумажный пакет экспертов ещё не отравлен в ассоциацию. Нужно будет направлять тот пакет документов</w:t>
            </w:r>
            <w:r w:rsidR="003875DA">
              <w:t>,</w:t>
            </w:r>
            <w:r>
              <w:t xml:space="preserve"> по которому получен отказ? </w:t>
            </w:r>
          </w:p>
        </w:tc>
        <w:tc>
          <w:tcPr>
            <w:tcW w:w="7371" w:type="dxa"/>
          </w:tcPr>
          <w:p w:rsidR="00FA4D0C" w:rsidRDefault="00946DA5" w:rsidP="005413F6">
            <w:pPr>
              <w:jc w:val="both"/>
              <w:rPr>
                <w:b/>
                <w:sz w:val="28"/>
                <w:szCs w:val="28"/>
              </w:rPr>
            </w:pPr>
            <w:r w:rsidRPr="00946DA5">
              <w:t>Да, обязательно.</w:t>
            </w:r>
          </w:p>
        </w:tc>
      </w:tr>
      <w:tr w:rsidR="00FA4D0C" w:rsidTr="00AD7EF2">
        <w:tc>
          <w:tcPr>
            <w:tcW w:w="988" w:type="dxa"/>
          </w:tcPr>
          <w:p w:rsidR="00FA4D0C" w:rsidRPr="00763872" w:rsidRDefault="00FA4D0C" w:rsidP="005413F6">
            <w:pPr>
              <w:pStyle w:val="a4"/>
              <w:numPr>
                <w:ilvl w:val="0"/>
                <w:numId w:val="3"/>
              </w:numPr>
              <w:jc w:val="both"/>
            </w:pPr>
          </w:p>
        </w:tc>
        <w:tc>
          <w:tcPr>
            <w:tcW w:w="6520" w:type="dxa"/>
          </w:tcPr>
          <w:p w:rsidR="00FA4D0C" w:rsidRPr="00763872" w:rsidRDefault="00FE3D46" w:rsidP="005413F6">
            <w:pPr>
              <w:jc w:val="both"/>
            </w:pPr>
            <w:r>
              <w:t>Однозначно необходимо провести обучение по округам, именно для совместного обсуждения вопросов, которые неизбежно возникнут в ходе работы по новому Регламенту и при проведении первых формальных проверок, в частности.</w:t>
            </w:r>
          </w:p>
        </w:tc>
        <w:tc>
          <w:tcPr>
            <w:tcW w:w="7371" w:type="dxa"/>
          </w:tcPr>
          <w:p w:rsidR="00FA4D0C" w:rsidRPr="00FE3D46" w:rsidRDefault="00FE3D46" w:rsidP="005413F6">
            <w:pPr>
              <w:jc w:val="both"/>
            </w:pPr>
            <w:r w:rsidRPr="00FE3D46">
              <w:t>Обучение будет организовано.</w:t>
            </w:r>
          </w:p>
          <w:p w:rsidR="00FE3D46" w:rsidRDefault="00FE3D46" w:rsidP="005413F6">
            <w:pPr>
              <w:jc w:val="both"/>
            </w:pPr>
            <w:r w:rsidRPr="00FE3D46">
              <w:t>Информация есть на сайте</w:t>
            </w:r>
            <w:r>
              <w:t xml:space="preserve"> </w:t>
            </w:r>
          </w:p>
          <w:p w:rsidR="00FE3D46" w:rsidRDefault="004B74D9" w:rsidP="005413F6">
            <w:pPr>
              <w:jc w:val="both"/>
            </w:pPr>
            <w:hyperlink r:id="rId10" w:history="1">
              <w:r w:rsidR="00FE3D46" w:rsidRPr="009165E8">
                <w:rPr>
                  <w:rStyle w:val="a6"/>
                </w:rPr>
                <w:t>http://nostroy.ru/articles/detail.php?ELEMENT_ID=20129</w:t>
              </w:r>
            </w:hyperlink>
          </w:p>
          <w:p w:rsidR="00FE3D46" w:rsidRDefault="00FE3D46" w:rsidP="005413F6">
            <w:pPr>
              <w:jc w:val="both"/>
              <w:rPr>
                <w:b/>
                <w:sz w:val="28"/>
                <w:szCs w:val="28"/>
              </w:rPr>
            </w:pPr>
          </w:p>
        </w:tc>
      </w:tr>
      <w:tr w:rsidR="00246032" w:rsidTr="00AD7EF2">
        <w:tc>
          <w:tcPr>
            <w:tcW w:w="988" w:type="dxa"/>
          </w:tcPr>
          <w:p w:rsidR="00246032" w:rsidRPr="00763872" w:rsidRDefault="00246032" w:rsidP="005413F6">
            <w:pPr>
              <w:pStyle w:val="a4"/>
              <w:numPr>
                <w:ilvl w:val="0"/>
                <w:numId w:val="3"/>
              </w:numPr>
              <w:jc w:val="both"/>
            </w:pPr>
          </w:p>
        </w:tc>
        <w:tc>
          <w:tcPr>
            <w:tcW w:w="6520" w:type="dxa"/>
          </w:tcPr>
          <w:p w:rsidR="00246032" w:rsidRPr="00763872" w:rsidRDefault="00661D8B" w:rsidP="005413F6">
            <w:pPr>
              <w:jc w:val="both"/>
            </w:pPr>
            <w:r>
              <w:t>Как обосновать при вторичной подаче заявления причины несогласия с отказом (нужно прилагать какое-то пояснительное письмо) и будет ли при этом Ассоциации рассматривать документы, которые были поданы заявителем в первый раз?</w:t>
            </w:r>
          </w:p>
        </w:tc>
        <w:tc>
          <w:tcPr>
            <w:tcW w:w="7371" w:type="dxa"/>
          </w:tcPr>
          <w:p w:rsidR="00246032" w:rsidRPr="00E90457" w:rsidRDefault="00661D8B" w:rsidP="005413F6">
            <w:pPr>
              <w:jc w:val="both"/>
            </w:pPr>
            <w:r w:rsidRPr="00E90457">
              <w:t>Для этого заявитель пишет письмо с просьбой о повторном рассмотрении и прикладывает документы, устраняющие причину отказа.</w:t>
            </w:r>
          </w:p>
          <w:p w:rsidR="00081F4E" w:rsidRDefault="00661D8B" w:rsidP="005413F6">
            <w:pPr>
              <w:jc w:val="both"/>
            </w:pPr>
            <w:r w:rsidRPr="00E90457">
              <w:t>Это схема будет действовать только до 03.10.2020.</w:t>
            </w:r>
            <w:r w:rsidR="00E90457" w:rsidRPr="00E90457">
              <w:t xml:space="preserve"> </w:t>
            </w:r>
          </w:p>
          <w:p w:rsidR="00661D8B" w:rsidRPr="00E90457" w:rsidRDefault="00E90457" w:rsidP="005413F6">
            <w:pPr>
              <w:jc w:val="both"/>
            </w:pPr>
            <w:r w:rsidRPr="00E90457">
              <w:t xml:space="preserve">С 04.10.2020 </w:t>
            </w:r>
            <w:r>
              <w:t>нужно собирать новый полный пакет документов.</w:t>
            </w:r>
          </w:p>
          <w:p w:rsidR="00661D8B" w:rsidRPr="00E90457" w:rsidRDefault="00891945" w:rsidP="005413F6">
            <w:pPr>
              <w:jc w:val="both"/>
            </w:pPr>
            <w:r>
              <w:t>Ассоциация рассматривает все документы.</w:t>
            </w:r>
          </w:p>
        </w:tc>
      </w:tr>
      <w:tr w:rsidR="00246032" w:rsidTr="00AD7EF2">
        <w:tc>
          <w:tcPr>
            <w:tcW w:w="988" w:type="dxa"/>
          </w:tcPr>
          <w:p w:rsidR="00246032" w:rsidRPr="00763872" w:rsidRDefault="00246032" w:rsidP="005413F6">
            <w:pPr>
              <w:pStyle w:val="a4"/>
              <w:numPr>
                <w:ilvl w:val="0"/>
                <w:numId w:val="3"/>
              </w:numPr>
              <w:jc w:val="both"/>
            </w:pPr>
          </w:p>
        </w:tc>
        <w:tc>
          <w:tcPr>
            <w:tcW w:w="6520" w:type="dxa"/>
          </w:tcPr>
          <w:p w:rsidR="00246032" w:rsidRPr="00763872" w:rsidRDefault="00661D8B" w:rsidP="005413F6">
            <w:pPr>
              <w:jc w:val="both"/>
            </w:pPr>
            <w:r>
              <w:t>А если при формальной экспертизе специалистом Оператора замечен факт подделки ТК? какое решение принимать? входит ли это в полномочия Оператора?</w:t>
            </w:r>
          </w:p>
        </w:tc>
        <w:tc>
          <w:tcPr>
            <w:tcW w:w="7371" w:type="dxa"/>
          </w:tcPr>
          <w:p w:rsidR="00B06557" w:rsidRPr="00FF59C8" w:rsidRDefault="00661D8B" w:rsidP="005413F6">
            <w:pPr>
              <w:jc w:val="both"/>
            </w:pPr>
            <w:r w:rsidRPr="00FF59C8">
              <w:t xml:space="preserve">Оператор может </w:t>
            </w:r>
            <w:r w:rsidR="00081F4E" w:rsidRPr="00FF59C8">
              <w:t xml:space="preserve">дополнительно </w:t>
            </w:r>
            <w:r w:rsidRPr="00FF59C8">
              <w:t xml:space="preserve">запросить </w:t>
            </w:r>
            <w:r w:rsidR="00081F4E" w:rsidRPr="00FF59C8">
              <w:t xml:space="preserve">у заявителя </w:t>
            </w:r>
            <w:r w:rsidRPr="00FF59C8">
              <w:t>выписку из ПФР по форме СЗИ-ИЛС, для подтверждения стажа по трудовой книжке.</w:t>
            </w:r>
            <w:r w:rsidR="00B06557" w:rsidRPr="00FF59C8">
              <w:t xml:space="preserve"> </w:t>
            </w:r>
          </w:p>
          <w:p w:rsidR="00246032" w:rsidRPr="00FF59C8" w:rsidRDefault="00B06557" w:rsidP="005413F6">
            <w:pPr>
              <w:jc w:val="both"/>
              <w:rPr>
                <w:b/>
                <w:sz w:val="28"/>
                <w:szCs w:val="28"/>
              </w:rPr>
            </w:pPr>
            <w:r w:rsidRPr="00FF59C8">
              <w:t>В таком случае в Форме ознакомления должно быть указано наименование дополнительно предоставленного документа.</w:t>
            </w:r>
          </w:p>
        </w:tc>
      </w:tr>
      <w:tr w:rsidR="00246032" w:rsidTr="00AD7EF2">
        <w:tc>
          <w:tcPr>
            <w:tcW w:w="988" w:type="dxa"/>
          </w:tcPr>
          <w:p w:rsidR="00246032" w:rsidRPr="00763872" w:rsidRDefault="00246032" w:rsidP="005413F6">
            <w:pPr>
              <w:pStyle w:val="a4"/>
              <w:numPr>
                <w:ilvl w:val="0"/>
                <w:numId w:val="3"/>
              </w:numPr>
              <w:jc w:val="both"/>
            </w:pPr>
          </w:p>
        </w:tc>
        <w:tc>
          <w:tcPr>
            <w:tcW w:w="6520" w:type="dxa"/>
          </w:tcPr>
          <w:p w:rsidR="00DE01EB" w:rsidRDefault="00DE01EB" w:rsidP="005413F6">
            <w:pPr>
              <w:jc w:val="both"/>
            </w:pPr>
            <w:r>
              <w:t>Какие требования к электронным трудовым книжкам?</w:t>
            </w:r>
          </w:p>
          <w:p w:rsidR="00246032" w:rsidRPr="00763872" w:rsidRDefault="00DE01EB" w:rsidP="005413F6">
            <w:pPr>
              <w:jc w:val="both"/>
            </w:pPr>
            <w:r>
              <w:t>Передачу пакета документов в Ассоциацию от Оператора осуществляет курьер. Необходимо ли курьеру также подписывать форму ознакомления с обработкой СВОИХ ПД?</w:t>
            </w:r>
          </w:p>
        </w:tc>
        <w:tc>
          <w:tcPr>
            <w:tcW w:w="7371" w:type="dxa"/>
          </w:tcPr>
          <w:p w:rsidR="00246032" w:rsidRDefault="00DE01EB" w:rsidP="005413F6">
            <w:pPr>
              <w:jc w:val="both"/>
            </w:pPr>
            <w:r>
              <w:t>Требования к электронным трудовым книжкам можно посмотреть на сайте по ссылке</w:t>
            </w:r>
          </w:p>
          <w:p w:rsidR="00DE01EB" w:rsidRDefault="004B74D9" w:rsidP="005413F6">
            <w:pPr>
              <w:jc w:val="both"/>
            </w:pPr>
            <w:hyperlink r:id="rId11" w:history="1">
              <w:r w:rsidR="00DE01EB" w:rsidRPr="009165E8">
                <w:rPr>
                  <w:rStyle w:val="a6"/>
                </w:rPr>
                <w:t>http://nostroy.ru/nacreestrspec/memo_applicant/</w:t>
              </w:r>
            </w:hyperlink>
          </w:p>
          <w:p w:rsidR="00DE01EB" w:rsidRPr="00DE01EB" w:rsidRDefault="00DE01EB" w:rsidP="005413F6">
            <w:pPr>
              <w:jc w:val="both"/>
            </w:pPr>
            <w:r>
              <w:t>Курьеру не нужно ничего подписывать.</w:t>
            </w:r>
          </w:p>
        </w:tc>
      </w:tr>
      <w:tr w:rsidR="00763872" w:rsidTr="00AD7EF2">
        <w:tc>
          <w:tcPr>
            <w:tcW w:w="988" w:type="dxa"/>
          </w:tcPr>
          <w:p w:rsidR="00763872" w:rsidRPr="00763872" w:rsidRDefault="00763872" w:rsidP="005413F6">
            <w:pPr>
              <w:pStyle w:val="a4"/>
              <w:numPr>
                <w:ilvl w:val="0"/>
                <w:numId w:val="3"/>
              </w:numPr>
              <w:jc w:val="both"/>
            </w:pPr>
          </w:p>
        </w:tc>
        <w:tc>
          <w:tcPr>
            <w:tcW w:w="6520" w:type="dxa"/>
          </w:tcPr>
          <w:p w:rsidR="00763872" w:rsidRPr="00763872" w:rsidRDefault="00E95E9A" w:rsidP="005413F6">
            <w:pPr>
              <w:jc w:val="both"/>
            </w:pPr>
            <w:r>
              <w:t xml:space="preserve">Все ли документы нужно прикладывать указанные в описи, или можно какие-то не прикладывать (к примеру выписку из ЕГРЮЛ работодателя приложить, а выписку из реестра </w:t>
            </w:r>
            <w:r>
              <w:lastRenderedPageBreak/>
              <w:t>членов СРО не прикладывать), или все-таки все документы прикладывать в обязательном порядке?</w:t>
            </w:r>
          </w:p>
        </w:tc>
        <w:tc>
          <w:tcPr>
            <w:tcW w:w="7371" w:type="dxa"/>
          </w:tcPr>
          <w:p w:rsidR="00763872" w:rsidRDefault="00E95E9A" w:rsidP="005413F6">
            <w:pPr>
              <w:jc w:val="both"/>
              <w:rPr>
                <w:b/>
                <w:sz w:val="28"/>
                <w:szCs w:val="28"/>
              </w:rPr>
            </w:pPr>
            <w:r w:rsidRPr="00E95E9A">
              <w:lastRenderedPageBreak/>
              <w:t>Подобные документы не являются обязательными, но</w:t>
            </w:r>
            <w:r>
              <w:t>,</w:t>
            </w:r>
            <w:r w:rsidRPr="00E95E9A">
              <w:t xml:space="preserve"> если заявитель хочет подтвердить свой </w:t>
            </w:r>
            <w:r w:rsidR="00914DCC">
              <w:t xml:space="preserve">общестроительный и инженерный </w:t>
            </w:r>
            <w:r w:rsidRPr="00E95E9A">
              <w:t>стаж и предоставит указанные документы, они будут приняты к рассмотрению.</w:t>
            </w:r>
          </w:p>
        </w:tc>
      </w:tr>
      <w:tr w:rsidR="005F6EE0" w:rsidTr="00AD7EF2">
        <w:tc>
          <w:tcPr>
            <w:tcW w:w="988" w:type="dxa"/>
          </w:tcPr>
          <w:p w:rsidR="005F6EE0" w:rsidRPr="00763872" w:rsidRDefault="005F6EE0" w:rsidP="005413F6">
            <w:pPr>
              <w:pStyle w:val="a4"/>
              <w:numPr>
                <w:ilvl w:val="0"/>
                <w:numId w:val="3"/>
              </w:numPr>
              <w:jc w:val="both"/>
            </w:pPr>
          </w:p>
        </w:tc>
        <w:tc>
          <w:tcPr>
            <w:tcW w:w="6520" w:type="dxa"/>
          </w:tcPr>
          <w:p w:rsidR="002862F1" w:rsidRPr="002862F1" w:rsidRDefault="002862F1" w:rsidP="005413F6">
            <w:pPr>
              <w:jc w:val="both"/>
            </w:pPr>
            <w:r w:rsidRPr="002862F1">
              <w:t>Коллеги, просим дать ответ на следующие вопросы: Что есть такое "формальная экспертиза"? Какие методы необходимо использовать при формальной экспертизе? Какие внешние источники информации необходимо использовать для сверки данных при формальной экспертизы документов? Также, необходимо понимать, что такое "ошибки" при проведении формальной экспертизы и как эти критерии "ошибочности" будут оцениваться в НОСТРОЙ?</w:t>
            </w:r>
          </w:p>
          <w:p w:rsidR="005F6EE0" w:rsidRPr="002862F1" w:rsidRDefault="005F6EE0" w:rsidP="005413F6">
            <w:pPr>
              <w:jc w:val="both"/>
            </w:pPr>
          </w:p>
        </w:tc>
        <w:tc>
          <w:tcPr>
            <w:tcW w:w="7371" w:type="dxa"/>
          </w:tcPr>
          <w:p w:rsidR="005F6EE0" w:rsidRPr="002862F1" w:rsidRDefault="002862F1" w:rsidP="005413F6">
            <w:pPr>
              <w:jc w:val="both"/>
            </w:pPr>
            <w:r w:rsidRPr="002862F1">
              <w:t>Информация по проведению формальной экспертизы заявительных документов будет освещена на семинарах по округам, с графиком проведения которых можно ознакомиться на сайте</w:t>
            </w:r>
          </w:p>
          <w:p w:rsidR="002862F1" w:rsidRDefault="004B74D9" w:rsidP="005413F6">
            <w:pPr>
              <w:jc w:val="both"/>
            </w:pPr>
            <w:hyperlink r:id="rId12" w:history="1">
              <w:r w:rsidR="002862F1" w:rsidRPr="009165E8">
                <w:rPr>
                  <w:rStyle w:val="a6"/>
                </w:rPr>
                <w:t>http://nostroy.ru/articles/detail.php?ELEMENT_ID=20129</w:t>
              </w:r>
            </w:hyperlink>
          </w:p>
          <w:p w:rsidR="002862F1" w:rsidRPr="002862F1" w:rsidRDefault="002862F1" w:rsidP="005413F6">
            <w:pPr>
              <w:jc w:val="both"/>
            </w:pPr>
          </w:p>
        </w:tc>
      </w:tr>
    </w:tbl>
    <w:p w:rsidR="00763872" w:rsidRPr="00763872" w:rsidRDefault="00763872" w:rsidP="005413F6">
      <w:pPr>
        <w:jc w:val="both"/>
        <w:rPr>
          <w:b/>
          <w:sz w:val="28"/>
          <w:szCs w:val="28"/>
        </w:rPr>
      </w:pPr>
    </w:p>
    <w:sectPr w:rsidR="00763872" w:rsidRPr="00763872" w:rsidSect="00AD7EF2">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D9" w:rsidRDefault="004B74D9" w:rsidP="00B56023">
      <w:r>
        <w:separator/>
      </w:r>
    </w:p>
  </w:endnote>
  <w:endnote w:type="continuationSeparator" w:id="0">
    <w:p w:rsidR="004B74D9" w:rsidRDefault="004B74D9" w:rsidP="00B5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99186"/>
      <w:docPartObj>
        <w:docPartGallery w:val="Page Numbers (Bottom of Page)"/>
        <w:docPartUnique/>
      </w:docPartObj>
    </w:sdtPr>
    <w:sdtEndPr/>
    <w:sdtContent>
      <w:p w:rsidR="00B56023" w:rsidRDefault="00B56023">
        <w:pPr>
          <w:pStyle w:val="a9"/>
          <w:jc w:val="center"/>
        </w:pPr>
        <w:r w:rsidRPr="00B56023">
          <w:rPr>
            <w:sz w:val="20"/>
            <w:szCs w:val="20"/>
          </w:rPr>
          <w:fldChar w:fldCharType="begin"/>
        </w:r>
        <w:r w:rsidRPr="00B56023">
          <w:rPr>
            <w:sz w:val="20"/>
            <w:szCs w:val="20"/>
          </w:rPr>
          <w:instrText>PAGE   \* MERGEFORMAT</w:instrText>
        </w:r>
        <w:r w:rsidRPr="00B56023">
          <w:rPr>
            <w:sz w:val="20"/>
            <w:szCs w:val="20"/>
          </w:rPr>
          <w:fldChar w:fldCharType="separate"/>
        </w:r>
        <w:r w:rsidR="00E8036B">
          <w:rPr>
            <w:noProof/>
            <w:sz w:val="20"/>
            <w:szCs w:val="20"/>
          </w:rPr>
          <w:t>8</w:t>
        </w:r>
        <w:r w:rsidRPr="00B56023">
          <w:rPr>
            <w:sz w:val="20"/>
            <w:szCs w:val="20"/>
          </w:rPr>
          <w:fldChar w:fldCharType="end"/>
        </w:r>
      </w:p>
    </w:sdtContent>
  </w:sdt>
  <w:p w:rsidR="00B56023" w:rsidRDefault="00B560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D9" w:rsidRDefault="004B74D9" w:rsidP="00B56023">
      <w:r>
        <w:separator/>
      </w:r>
    </w:p>
  </w:footnote>
  <w:footnote w:type="continuationSeparator" w:id="0">
    <w:p w:rsidR="004B74D9" w:rsidRDefault="004B74D9" w:rsidP="00B5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836AC"/>
    <w:multiLevelType w:val="hybridMultilevel"/>
    <w:tmpl w:val="3148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35F6F"/>
    <w:multiLevelType w:val="hybridMultilevel"/>
    <w:tmpl w:val="0316E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B82F98"/>
    <w:multiLevelType w:val="hybridMultilevel"/>
    <w:tmpl w:val="0916F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C41B4"/>
    <w:multiLevelType w:val="hybridMultilevel"/>
    <w:tmpl w:val="546E78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FB5351"/>
    <w:multiLevelType w:val="hybridMultilevel"/>
    <w:tmpl w:val="2C529DF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B"/>
    <w:rsid w:val="00060B5B"/>
    <w:rsid w:val="00066EC4"/>
    <w:rsid w:val="000736BD"/>
    <w:rsid w:val="00081747"/>
    <w:rsid w:val="00081F4E"/>
    <w:rsid w:val="00091C7E"/>
    <w:rsid w:val="000D6978"/>
    <w:rsid w:val="000F48D7"/>
    <w:rsid w:val="001167BD"/>
    <w:rsid w:val="00151847"/>
    <w:rsid w:val="0017205A"/>
    <w:rsid w:val="001837F8"/>
    <w:rsid w:val="00202C9A"/>
    <w:rsid w:val="002120DC"/>
    <w:rsid w:val="00225EC1"/>
    <w:rsid w:val="00234AFA"/>
    <w:rsid w:val="00246032"/>
    <w:rsid w:val="0027630F"/>
    <w:rsid w:val="002862F1"/>
    <w:rsid w:val="002A0DB9"/>
    <w:rsid w:val="002C530A"/>
    <w:rsid w:val="002C7052"/>
    <w:rsid w:val="002E01C6"/>
    <w:rsid w:val="002E150B"/>
    <w:rsid w:val="002E2A33"/>
    <w:rsid w:val="002E3476"/>
    <w:rsid w:val="00337D4A"/>
    <w:rsid w:val="00364552"/>
    <w:rsid w:val="003875DA"/>
    <w:rsid w:val="00391429"/>
    <w:rsid w:val="0039468D"/>
    <w:rsid w:val="003C4EDE"/>
    <w:rsid w:val="003C4FAE"/>
    <w:rsid w:val="003D000B"/>
    <w:rsid w:val="003D145D"/>
    <w:rsid w:val="003E7DFD"/>
    <w:rsid w:val="00404335"/>
    <w:rsid w:val="00410DFE"/>
    <w:rsid w:val="00414E88"/>
    <w:rsid w:val="00420BB8"/>
    <w:rsid w:val="0043314B"/>
    <w:rsid w:val="00436FCC"/>
    <w:rsid w:val="004618A0"/>
    <w:rsid w:val="00481FD2"/>
    <w:rsid w:val="004A025B"/>
    <w:rsid w:val="004A1626"/>
    <w:rsid w:val="004B74D9"/>
    <w:rsid w:val="004D0699"/>
    <w:rsid w:val="0050309E"/>
    <w:rsid w:val="005040F9"/>
    <w:rsid w:val="005413F6"/>
    <w:rsid w:val="00553CE4"/>
    <w:rsid w:val="00556638"/>
    <w:rsid w:val="00556E52"/>
    <w:rsid w:val="0056589F"/>
    <w:rsid w:val="00577FCD"/>
    <w:rsid w:val="005D0951"/>
    <w:rsid w:val="005D4D57"/>
    <w:rsid w:val="005D728E"/>
    <w:rsid w:val="005F4270"/>
    <w:rsid w:val="005F6EE0"/>
    <w:rsid w:val="0063512C"/>
    <w:rsid w:val="00640616"/>
    <w:rsid w:val="00640A0D"/>
    <w:rsid w:val="00646A54"/>
    <w:rsid w:val="00661D8B"/>
    <w:rsid w:val="006A1D48"/>
    <w:rsid w:val="006B0364"/>
    <w:rsid w:val="006F70F0"/>
    <w:rsid w:val="007110DE"/>
    <w:rsid w:val="00722A6A"/>
    <w:rsid w:val="007305EA"/>
    <w:rsid w:val="00736DDB"/>
    <w:rsid w:val="00747CDE"/>
    <w:rsid w:val="00763872"/>
    <w:rsid w:val="00793AEF"/>
    <w:rsid w:val="007B3AD6"/>
    <w:rsid w:val="007B7B2C"/>
    <w:rsid w:val="00815885"/>
    <w:rsid w:val="008313B7"/>
    <w:rsid w:val="00851E24"/>
    <w:rsid w:val="008723AF"/>
    <w:rsid w:val="008733F1"/>
    <w:rsid w:val="00891945"/>
    <w:rsid w:val="008A2156"/>
    <w:rsid w:val="008A2288"/>
    <w:rsid w:val="008B601D"/>
    <w:rsid w:val="00914DCC"/>
    <w:rsid w:val="009436DD"/>
    <w:rsid w:val="00946DA5"/>
    <w:rsid w:val="00952272"/>
    <w:rsid w:val="00961A1B"/>
    <w:rsid w:val="00981229"/>
    <w:rsid w:val="009B5276"/>
    <w:rsid w:val="009B5759"/>
    <w:rsid w:val="009F513A"/>
    <w:rsid w:val="009F5808"/>
    <w:rsid w:val="00A341BC"/>
    <w:rsid w:val="00A7268E"/>
    <w:rsid w:val="00A83AA6"/>
    <w:rsid w:val="00A84A4C"/>
    <w:rsid w:val="00A9284D"/>
    <w:rsid w:val="00AB1AD9"/>
    <w:rsid w:val="00AD1024"/>
    <w:rsid w:val="00AD3881"/>
    <w:rsid w:val="00AD7EF2"/>
    <w:rsid w:val="00AE1242"/>
    <w:rsid w:val="00AE332A"/>
    <w:rsid w:val="00AF3DB4"/>
    <w:rsid w:val="00B021F2"/>
    <w:rsid w:val="00B06557"/>
    <w:rsid w:val="00B0687D"/>
    <w:rsid w:val="00B071C6"/>
    <w:rsid w:val="00B10A6B"/>
    <w:rsid w:val="00B1718B"/>
    <w:rsid w:val="00B21510"/>
    <w:rsid w:val="00B22C7A"/>
    <w:rsid w:val="00B301E4"/>
    <w:rsid w:val="00B32008"/>
    <w:rsid w:val="00B4045B"/>
    <w:rsid w:val="00B56023"/>
    <w:rsid w:val="00B56F33"/>
    <w:rsid w:val="00BA59CF"/>
    <w:rsid w:val="00BB4C95"/>
    <w:rsid w:val="00BB5E66"/>
    <w:rsid w:val="00BC3446"/>
    <w:rsid w:val="00C054A8"/>
    <w:rsid w:val="00C112E6"/>
    <w:rsid w:val="00C23E84"/>
    <w:rsid w:val="00C258A0"/>
    <w:rsid w:val="00C33425"/>
    <w:rsid w:val="00C973ED"/>
    <w:rsid w:val="00CB265F"/>
    <w:rsid w:val="00CB48DB"/>
    <w:rsid w:val="00CB4E94"/>
    <w:rsid w:val="00D41A6B"/>
    <w:rsid w:val="00D47152"/>
    <w:rsid w:val="00D631AA"/>
    <w:rsid w:val="00D70468"/>
    <w:rsid w:val="00D70F94"/>
    <w:rsid w:val="00D769A2"/>
    <w:rsid w:val="00D77647"/>
    <w:rsid w:val="00DA2637"/>
    <w:rsid w:val="00DC4265"/>
    <w:rsid w:val="00DC4DB6"/>
    <w:rsid w:val="00DC6659"/>
    <w:rsid w:val="00DE01EB"/>
    <w:rsid w:val="00DE05C1"/>
    <w:rsid w:val="00DE57DC"/>
    <w:rsid w:val="00E04709"/>
    <w:rsid w:val="00E426D6"/>
    <w:rsid w:val="00E8036B"/>
    <w:rsid w:val="00E90457"/>
    <w:rsid w:val="00E90A2F"/>
    <w:rsid w:val="00E95E9A"/>
    <w:rsid w:val="00EB714A"/>
    <w:rsid w:val="00EC305B"/>
    <w:rsid w:val="00EF2A0F"/>
    <w:rsid w:val="00F0601C"/>
    <w:rsid w:val="00F16E0F"/>
    <w:rsid w:val="00FA06C7"/>
    <w:rsid w:val="00FA4D0C"/>
    <w:rsid w:val="00FA7A9F"/>
    <w:rsid w:val="00FB3836"/>
    <w:rsid w:val="00FB6B39"/>
    <w:rsid w:val="00FE3D46"/>
    <w:rsid w:val="00FF3D29"/>
    <w:rsid w:val="00FF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85172-AFDA-4D4D-8F1C-B2FBAA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5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3872"/>
    <w:pPr>
      <w:ind w:left="720"/>
      <w:contextualSpacing/>
    </w:pPr>
  </w:style>
  <w:style w:type="character" w:styleId="a5">
    <w:name w:val="Strong"/>
    <w:basedOn w:val="a0"/>
    <w:uiPriority w:val="22"/>
    <w:qFormat/>
    <w:rsid w:val="00B32008"/>
    <w:rPr>
      <w:b/>
      <w:bCs/>
    </w:rPr>
  </w:style>
  <w:style w:type="character" w:styleId="a6">
    <w:name w:val="Hyperlink"/>
    <w:basedOn w:val="a0"/>
    <w:uiPriority w:val="99"/>
    <w:unhideWhenUsed/>
    <w:rsid w:val="00436FCC"/>
    <w:rPr>
      <w:color w:val="0563C1" w:themeColor="hyperlink"/>
      <w:u w:val="single"/>
    </w:rPr>
  </w:style>
  <w:style w:type="paragraph" w:styleId="a7">
    <w:name w:val="header"/>
    <w:basedOn w:val="a"/>
    <w:link w:val="a8"/>
    <w:uiPriority w:val="99"/>
    <w:unhideWhenUsed/>
    <w:rsid w:val="00B56023"/>
    <w:pPr>
      <w:tabs>
        <w:tab w:val="center" w:pos="4677"/>
        <w:tab w:val="right" w:pos="9355"/>
      </w:tabs>
    </w:pPr>
  </w:style>
  <w:style w:type="character" w:customStyle="1" w:styleId="a8">
    <w:name w:val="Верхний колонтитул Знак"/>
    <w:basedOn w:val="a0"/>
    <w:link w:val="a7"/>
    <w:uiPriority w:val="99"/>
    <w:rsid w:val="00B56023"/>
    <w:rPr>
      <w:rFonts w:ascii="Times New Roman" w:hAnsi="Times New Roman" w:cs="Times New Roman"/>
      <w:sz w:val="24"/>
      <w:szCs w:val="24"/>
      <w:lang w:eastAsia="ru-RU"/>
    </w:rPr>
  </w:style>
  <w:style w:type="paragraph" w:styleId="a9">
    <w:name w:val="footer"/>
    <w:basedOn w:val="a"/>
    <w:link w:val="aa"/>
    <w:uiPriority w:val="99"/>
    <w:unhideWhenUsed/>
    <w:rsid w:val="00B56023"/>
    <w:pPr>
      <w:tabs>
        <w:tab w:val="center" w:pos="4677"/>
        <w:tab w:val="right" w:pos="9355"/>
      </w:tabs>
    </w:pPr>
  </w:style>
  <w:style w:type="character" w:customStyle="1" w:styleId="aa">
    <w:name w:val="Нижний колонтитул Знак"/>
    <w:basedOn w:val="a0"/>
    <w:link w:val="a9"/>
    <w:uiPriority w:val="99"/>
    <w:rsid w:val="00B56023"/>
    <w:rPr>
      <w:rFonts w:ascii="Times New Roman" w:hAnsi="Times New Roman" w:cs="Times New Roman"/>
      <w:sz w:val="24"/>
      <w:szCs w:val="24"/>
      <w:lang w:eastAsia="ru-RU"/>
    </w:rPr>
  </w:style>
  <w:style w:type="character" w:styleId="ab">
    <w:name w:val="FollowedHyperlink"/>
    <w:basedOn w:val="a0"/>
    <w:uiPriority w:val="99"/>
    <w:semiHidden/>
    <w:unhideWhenUsed/>
    <w:rsid w:val="009F5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troy.ru/nacreestrspec/sro-operatory-natsionalnogo-reestra-spetsialistov-v-oblasti-stroitelstv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ostroy.ru/nacreestrspec/sro-operatory-natsionalnogo-reestra-spetsialistov-v-oblasti-stroitelstva/" TargetMode="External"/><Relationship Id="rId12" Type="http://schemas.openxmlformats.org/officeDocument/2006/relationships/hyperlink" Target="http://nostroy.ru/articles/detail.php?ELEMENT_ID=2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stroy.ru/nacreestrspec/memo_applica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stroy.ru/articles/detail.php?ELEMENT_ID=20129" TargetMode="External"/><Relationship Id="rId4" Type="http://schemas.openxmlformats.org/officeDocument/2006/relationships/webSettings" Target="webSettings.xml"/><Relationship Id="rId9" Type="http://schemas.openxmlformats.org/officeDocument/2006/relationships/hyperlink" Target="http://nostroy.ru/nacreestrspec/memo_applica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Одинокова Лариса Юрьевна</dc:creator>
  <cp:keywords/>
  <dc:description/>
  <cp:lastModifiedBy>Одинокова Лариса Юрьевна</cp:lastModifiedBy>
  <cp:revision>21</cp:revision>
  <dcterms:created xsi:type="dcterms:W3CDTF">2020-09-16T10:10:00Z</dcterms:created>
  <dcterms:modified xsi:type="dcterms:W3CDTF">2020-09-17T06:03:00Z</dcterms:modified>
</cp:coreProperties>
</file>