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E4" w:rsidRPr="00D36FE4" w:rsidRDefault="00D36FE4" w:rsidP="00D36FE4">
      <w:pPr>
        <w:ind w:firstLine="720"/>
        <w:rPr>
          <w:rFonts w:ascii="Arial" w:eastAsia="Times New Roman" w:hAnsi="Arial" w:cs="Arial"/>
          <w:color w:val="000000"/>
          <w:sz w:val="21"/>
          <w:szCs w:val="21"/>
          <w:shd w:val="clear" w:color="auto" w:fill="FFFFFF"/>
          <w:lang w:eastAsia="ru-RU"/>
        </w:rPr>
      </w:pPr>
      <w:r w:rsidRPr="00D36FE4">
        <w:rPr>
          <w:rFonts w:ascii="Arial" w:eastAsia="Times New Roman" w:hAnsi="Arial" w:cs="Arial"/>
          <w:color w:val="000000"/>
          <w:sz w:val="21"/>
          <w:szCs w:val="21"/>
          <w:shd w:val="clear" w:color="auto" w:fill="FFFFFF"/>
          <w:lang w:eastAsia="ru-RU"/>
        </w:rPr>
        <w:t>инстанция – Лебедев Ю.В.</w:t>
      </w:r>
    </w:p>
    <w:p w:rsidR="00D36FE4" w:rsidRPr="00D36FE4" w:rsidRDefault="00D36FE4" w:rsidP="00D36FE4">
      <w:pPr>
        <w:ind w:firstLine="720"/>
        <w:rPr>
          <w:rFonts w:ascii="Arial" w:eastAsia="Times New Roman" w:hAnsi="Arial" w:cs="Arial"/>
          <w:color w:val="000000"/>
          <w:sz w:val="21"/>
          <w:szCs w:val="21"/>
          <w:shd w:val="clear" w:color="auto" w:fill="FFFFFF"/>
          <w:lang w:eastAsia="ru-RU"/>
        </w:rPr>
      </w:pPr>
      <w:r w:rsidRPr="00D36FE4">
        <w:rPr>
          <w:rFonts w:ascii="Arial" w:eastAsia="Times New Roman" w:hAnsi="Arial" w:cs="Arial"/>
          <w:color w:val="000000"/>
          <w:sz w:val="21"/>
          <w:szCs w:val="21"/>
          <w:shd w:val="clear" w:color="auto" w:fill="FFFFFF"/>
          <w:lang w:eastAsia="ru-RU"/>
        </w:rPr>
        <w:t xml:space="preserve">инстанция – </w:t>
      </w:r>
      <w:proofErr w:type="spellStart"/>
      <w:r w:rsidRPr="00D36FE4">
        <w:rPr>
          <w:rFonts w:ascii="Arial" w:eastAsia="Times New Roman" w:hAnsi="Arial" w:cs="Arial"/>
          <w:color w:val="000000"/>
          <w:sz w:val="21"/>
          <w:szCs w:val="21"/>
          <w:shd w:val="clear" w:color="auto" w:fill="FFFFFF"/>
          <w:lang w:eastAsia="ru-RU"/>
        </w:rPr>
        <w:t>Пильгун</w:t>
      </w:r>
      <w:proofErr w:type="spellEnd"/>
      <w:r w:rsidRPr="00D36FE4">
        <w:rPr>
          <w:rFonts w:ascii="Arial" w:eastAsia="Times New Roman" w:hAnsi="Arial" w:cs="Arial"/>
          <w:color w:val="000000"/>
          <w:sz w:val="21"/>
          <w:szCs w:val="21"/>
          <w:shd w:val="clear" w:color="auto" w:fill="FFFFFF"/>
          <w:lang w:eastAsia="ru-RU"/>
        </w:rPr>
        <w:t xml:space="preserve"> А.С., Грибова Е.Н.(докладчик), Васильева Е.В.</w:t>
      </w:r>
    </w:p>
    <w:p w:rsidR="00D36FE4" w:rsidRPr="00D36FE4" w:rsidRDefault="00D36FE4" w:rsidP="00D36FE4">
      <w:pPr>
        <w:ind w:firstLine="720"/>
        <w:rPr>
          <w:rFonts w:ascii="Arial" w:eastAsia="Times New Roman" w:hAnsi="Arial" w:cs="Arial"/>
          <w:color w:val="000000"/>
          <w:sz w:val="21"/>
          <w:szCs w:val="21"/>
          <w:shd w:val="clear" w:color="auto" w:fill="FFFFFF"/>
          <w:lang w:eastAsia="ru-RU"/>
        </w:rPr>
      </w:pPr>
      <w:r w:rsidRPr="00D36FE4">
        <w:rPr>
          <w:rFonts w:ascii="Arial" w:eastAsia="Times New Roman" w:hAnsi="Arial" w:cs="Arial"/>
          <w:color w:val="000000"/>
          <w:sz w:val="21"/>
          <w:szCs w:val="21"/>
          <w:shd w:val="clear" w:color="auto" w:fill="FFFFFF"/>
          <w:lang w:eastAsia="ru-RU"/>
        </w:rPr>
        <w:t>Дело № 88- 5757/2020 (8г- 3291/2020)</w:t>
      </w:r>
      <w:bookmarkStart w:id="0" w:name="_GoBack"/>
      <w:bookmarkEnd w:id="0"/>
    </w:p>
    <w:tbl>
      <w:tblPr>
        <w:tblW w:w="20115" w:type="dxa"/>
        <w:tblBorders>
          <w:top w:val="single" w:sz="6" w:space="0" w:color="DADADA"/>
          <w:left w:val="single" w:sz="6" w:space="0" w:color="DADADA"/>
          <w:bottom w:val="single" w:sz="6" w:space="0" w:color="DADADA"/>
          <w:right w:val="single" w:sz="6" w:space="0" w:color="DADADA"/>
        </w:tblBorders>
        <w:shd w:val="clear" w:color="auto" w:fill="FFFFFF"/>
        <w:tblCellMar>
          <w:top w:w="150" w:type="dxa"/>
          <w:left w:w="150" w:type="dxa"/>
          <w:bottom w:w="150" w:type="dxa"/>
          <w:right w:w="150" w:type="dxa"/>
        </w:tblCellMar>
        <w:tblLook w:val="04A0" w:firstRow="1" w:lastRow="0" w:firstColumn="1" w:lastColumn="0" w:noHBand="0" w:noVBand="1"/>
      </w:tblPr>
      <w:tblGrid>
        <w:gridCol w:w="20115"/>
      </w:tblGrid>
      <w:tr w:rsidR="00D36FE4" w:rsidRPr="00D36FE4" w:rsidTr="00D36FE4">
        <w:tc>
          <w:tcPr>
            <w:tcW w:w="0" w:type="auto"/>
            <w:shd w:val="clear" w:color="auto" w:fill="FFFFFF"/>
            <w:vAlign w:val="center"/>
            <w:hideMark/>
          </w:tcPr>
          <w:p w:rsidR="00D36FE4" w:rsidRPr="00D36FE4" w:rsidRDefault="00D36FE4" w:rsidP="00D36FE4">
            <w:pPr>
              <w:jc w:val="left"/>
              <w:rPr>
                <w:rFonts w:ascii="Arial" w:eastAsia="Times New Roman" w:hAnsi="Arial" w:cs="Arial"/>
                <w:color w:val="000000"/>
                <w:sz w:val="21"/>
                <w:szCs w:val="21"/>
                <w:shd w:val="clear" w:color="auto" w:fill="FFFFFF"/>
                <w:lang w:eastAsia="ru-RU"/>
              </w:rPr>
            </w:pPr>
          </w:p>
        </w:tc>
      </w:tr>
    </w:tbl>
    <w:p w:rsidR="00D36FE4" w:rsidRPr="00D36FE4" w:rsidRDefault="00D36FE4" w:rsidP="00D36FE4">
      <w:pPr>
        <w:jc w:val="left"/>
        <w:rPr>
          <w:rFonts w:eastAsia="Times New Roman" w:cs="Times New Roman"/>
          <w:vanish/>
          <w:szCs w:val="24"/>
          <w:lang w:eastAsia="ru-RU"/>
        </w:rPr>
      </w:pPr>
    </w:p>
    <w:tbl>
      <w:tblPr>
        <w:tblW w:w="0" w:type="auto"/>
        <w:jc w:val="center"/>
        <w:tblBorders>
          <w:top w:val="single" w:sz="6" w:space="0" w:color="DADADA"/>
          <w:left w:val="single" w:sz="6" w:space="0" w:color="DADADA"/>
          <w:bottom w:val="single" w:sz="6" w:space="0" w:color="DADADA"/>
          <w:right w:val="single" w:sz="6" w:space="0" w:color="DADADA"/>
        </w:tblBorders>
        <w:shd w:val="clear" w:color="auto" w:fill="FFFFFF"/>
        <w:tblCellMar>
          <w:top w:w="150" w:type="dxa"/>
          <w:left w:w="150" w:type="dxa"/>
          <w:bottom w:w="150" w:type="dxa"/>
          <w:right w:w="150" w:type="dxa"/>
        </w:tblCellMar>
        <w:tblLook w:val="04A0" w:firstRow="1" w:lastRow="0" w:firstColumn="1" w:lastColumn="0" w:noHBand="0" w:noVBand="1"/>
      </w:tblPr>
      <w:tblGrid>
        <w:gridCol w:w="7288"/>
      </w:tblGrid>
      <w:tr w:rsidR="00D36FE4" w:rsidRPr="00D36FE4" w:rsidTr="00D36FE4">
        <w:trPr>
          <w:jc w:val="center"/>
        </w:trPr>
        <w:tc>
          <w:tcPr>
            <w:tcW w:w="0" w:type="auto"/>
            <w:tcBorders>
              <w:top w:val="single" w:sz="6" w:space="0" w:color="DADADA"/>
              <w:left w:val="single" w:sz="6" w:space="0" w:color="DADADA"/>
              <w:bottom w:val="single" w:sz="6" w:space="0" w:color="DADADA"/>
              <w:right w:val="single" w:sz="6" w:space="0" w:color="DADADA"/>
            </w:tcBorders>
            <w:shd w:val="clear" w:color="auto" w:fill="FFFFFF"/>
            <w:vAlign w:val="center"/>
            <w:hideMark/>
          </w:tcPr>
          <w:p w:rsidR="00D36FE4" w:rsidRPr="00D36FE4" w:rsidRDefault="00D36FE4" w:rsidP="00D36FE4">
            <w:pPr>
              <w:ind w:firstLine="720"/>
              <w:rPr>
                <w:rFonts w:ascii="Arial" w:eastAsia="Times New Roman" w:hAnsi="Arial" w:cs="Arial"/>
                <w:color w:val="333333"/>
                <w:sz w:val="21"/>
                <w:szCs w:val="21"/>
                <w:lang w:eastAsia="ru-RU"/>
              </w:rPr>
            </w:pPr>
            <w:r w:rsidRPr="00D36FE4">
              <w:rPr>
                <w:rFonts w:ascii="Arial" w:eastAsia="Times New Roman" w:hAnsi="Arial" w:cs="Arial"/>
                <w:color w:val="333333"/>
                <w:sz w:val="21"/>
                <w:szCs w:val="21"/>
                <w:lang w:eastAsia="ru-RU"/>
              </w:rPr>
              <w:t>Уникальный идентификатор дела 77RS0021-01-2018-013399-61</w:t>
            </w:r>
          </w:p>
        </w:tc>
      </w:tr>
    </w:tbl>
    <w:p w:rsidR="00D36FE4" w:rsidRPr="00D36FE4" w:rsidRDefault="00D36FE4" w:rsidP="00D36FE4">
      <w:pPr>
        <w:shd w:val="clear" w:color="auto" w:fill="FFFFFF"/>
        <w:ind w:firstLine="720"/>
        <w:jc w:val="center"/>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ОПРЕДЕЛЕНИЕ</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24 марта 2020 года    город Москва</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Судебная коллегия по гражданским делам Второго кассационного суда общей юрисдикции в составе</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председательствующего Иванова А.В.,</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судей Белоусовой В.Б., Лепехиной Н.В.</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рассмотрела в открытом судебном заседании гражданское дело по иску ФИО1 к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о признании отказа незаконным, обязании включить в реестр, (номер дела, присвоенный судом первой инстанции 2-7320/2018)</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по кассационной жалобе ФИО1 на решение Пресненского районного суда &lt;адрес&gt; от </w:t>
      </w:r>
      <w:proofErr w:type="spellStart"/>
      <w:r w:rsidRPr="00D36FE4">
        <w:rPr>
          <w:rFonts w:ascii="Arial" w:eastAsia="Times New Roman" w:hAnsi="Arial" w:cs="Arial"/>
          <w:color w:val="000000"/>
          <w:sz w:val="21"/>
          <w:szCs w:val="21"/>
          <w:lang w:eastAsia="ru-RU"/>
        </w:rPr>
        <w:t>ДД.ММ.ГГГГг</w:t>
      </w:r>
      <w:proofErr w:type="spellEnd"/>
      <w:proofErr w:type="gramStart"/>
      <w:r w:rsidRPr="00D36FE4">
        <w:rPr>
          <w:rFonts w:ascii="Arial" w:eastAsia="Times New Roman" w:hAnsi="Arial" w:cs="Arial"/>
          <w:color w:val="000000"/>
          <w:sz w:val="21"/>
          <w:szCs w:val="21"/>
          <w:lang w:eastAsia="ru-RU"/>
        </w:rPr>
        <w:t>.</w:t>
      </w:r>
      <w:proofErr w:type="gramEnd"/>
      <w:r w:rsidRPr="00D36FE4">
        <w:rPr>
          <w:rFonts w:ascii="Arial" w:eastAsia="Times New Roman" w:hAnsi="Arial" w:cs="Arial"/>
          <w:color w:val="000000"/>
          <w:sz w:val="21"/>
          <w:szCs w:val="21"/>
          <w:lang w:eastAsia="ru-RU"/>
        </w:rPr>
        <w:t xml:space="preserve"> и на апелляционное определение Московского городского суда от ДД.ММ.ГГГГ,</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Заслушав доклад судьи судебной коллегии по гражданским делам Второго кассационного суда общей юрисдикции ФИО11, объяснения ФИО8, представителя ФИО9, поддержавшего доводы кассационной жалобы, ФИО10, представителя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Лях И.О., представителя ФГУП «</w:t>
      </w:r>
      <w:proofErr w:type="spellStart"/>
      <w:r w:rsidRPr="00D36FE4">
        <w:rPr>
          <w:rFonts w:ascii="Arial" w:eastAsia="Times New Roman" w:hAnsi="Arial" w:cs="Arial"/>
          <w:color w:val="000000"/>
          <w:sz w:val="21"/>
          <w:szCs w:val="21"/>
          <w:lang w:eastAsia="ru-RU"/>
        </w:rPr>
        <w:t>Авиакомплект</w:t>
      </w:r>
      <w:proofErr w:type="spellEnd"/>
      <w:r w:rsidRPr="00D36FE4">
        <w:rPr>
          <w:rFonts w:ascii="Arial" w:eastAsia="Times New Roman" w:hAnsi="Arial" w:cs="Arial"/>
          <w:color w:val="000000"/>
          <w:sz w:val="21"/>
          <w:szCs w:val="21"/>
          <w:lang w:eastAsia="ru-RU"/>
        </w:rPr>
        <w:t>», возражавших против удовлетворения кассационной жалобы,</w:t>
      </w:r>
    </w:p>
    <w:p w:rsidR="00D36FE4" w:rsidRPr="00D36FE4" w:rsidRDefault="00D36FE4" w:rsidP="00D36FE4">
      <w:pPr>
        <w:shd w:val="clear" w:color="auto" w:fill="FFFFFF"/>
        <w:ind w:firstLine="720"/>
        <w:jc w:val="center"/>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Установила:</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ФИО1 обратился в суд с иском к ответчику, просит признать незаконным (недействительным) решение комиссии по ведению Национального реестра специалистов в области строительства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(протокол от ДД.ММ.ГГГГ №) об отказе во включении сведений о ФИО1 в Национальный реестр специалистов в области строительства; обязать Ассоциацию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устранить нарушение прав и свобод (препятствие к осуществлению прав и свобод), т.е. включить сведения о ФИО1 в Национальный реестр специалистов в области строительства.</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В обоснование заявленных требований истец указал, что в целях включения сведений о нем в Национальный реестр специалистов в области строительства, он ДД.ММ.ГГГГ заполнил и направил в адрес ответчика заявление о включении сведений об истце в Национальный реестр специалистов в области строительства. ДД.ММ.ГГГГ истца уведомили о том, что комиссия по ведению Национального реестра специалистов в области строительства (протокол от ДД.ММ.ГГГГ №) приняла решение об отказе во включении сведений в Национальный реестр специалистов в области строительства по основанию: несоответствие заявителя требованию о наличии у него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 поскольку инспекция государственного строительного надзора, где работал истец в период с ДД.ММ.ГГГГ по ДД.ММ.ГГГГ (дата составления заявления) в должности Государственного инспектора, Старшего государственного инспектора, Главного государственного инспектора, Начальника отдела, непосредственно не осуществляет деятельность по строительству, реконструкции, капитальному ремонту объектов капитального строительства. Данный отказ истец считает незаконным и необоснованным.</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lastRenderedPageBreak/>
        <w:t>Решением Пресненского районного суда &lt;адрес&gt; от ДД.ММ.ГГГГ, оставленным без изменения апелляционным определением судебной коллегии по гражданским делам Московского городского суда от ДД.ММ.ГГГГ, в иске отказано.</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В кассационной жалобе ФИО1 ставится вопрос об отмене судебных актов как вынесенных с нарушением норм материального и процессуального права.</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Согласно ст. 379.7 Гражданского процессуального кодекса Российской Федерации (далее - ГПК РФ) РФ 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Изучив материалы дела, обсудив доводы кассационной жалобы, проверив по правилам ст. 379.6 Гражданского процессуального кодекса</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Российской Федерации (далее - ГПК РФ) в пределах доводов, содержащихся в кассационных жалобе, законность судебных постановлений, принятых судами первой и апелляционной инстанций, кассационный суд не находит оснований для удовлетворения жалобы. Оснований, предусмотренных ст. 379.7 ГПК РФ, для отмены решения и апелляционного определения в кассационном порядке не имеется.</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Как следует из материалов дела, ДД.ММ.ГГГГ ФИО1 направил ответчику заявление о включении сведений в Национальный реестр специалистов в области строительства с приложением необходимых документов (л.д. 16-22).</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Уведомлением от ДД.ММ.ГГГГ истцу сообщено, что решением комиссии по ведению Национального реестра специалистов в области строительства (протокол от ДД.ММ.ГГГГ №") ФИО1 отказано во включении сведений в Национальный реестр в связи с тем, что заявитель не соответствует требованию о наличии у него стажа работы в организациях, осуществляющих строительство, реконструкцию, капитальный ремонт объектов капительного строительства на инженерных должностях не менее чем три года.</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Оценив представленные доказательства, копию диплома, копию трудовой книжки, доводы истца о том, что занимаемые истцом должности соответствуют требованиям ст. 55.5-1 ГрК РФ, суд исходил из того, что общий трудовой стаж по профессии, специальности или направлению подготовки в области строительства может исчисляться с момента начала трудовой деятельности, в том числе при приобретении рабочей профессии.</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Стаж работы на инженерных должностях является одним из видов специального трудового стажа. Трудовое законодательство не определяет понятие «стаж работы по специальности» и порядок его исчисления.</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Специальный трудовой стаж имеет юридическое значение лишь в случаях, установленных законодательством. Порядок исчисления специального стажа определяется соответствующими нормативными актами.</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В стаж (опыт) работы по специальности (направлению подготовки) включаются те периоды трудовой деятельности, подтвержденные соответствующими документами, после получения документа об образовании и о квалификации, которые соответствуют конкретной специальности (направлению подготовки), указанной в данном документе и необходимой для занятия должности в рамках соответствующего направления деятельности (специализации по направлению деятельности), с учетом профессиональных стандартов и квалификационных справочников.</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Суд пришел к выводу о том, что истцом не представлено доказательств осуществления трудовой деятельности непосредственно на инженерных должностях не менее чем три года, как того требует действующее законодательство.</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Представленные истцом в материалы дела должностные регламенты (л.д. 40-49) не содержат в себе квалификационных требований в части непосредственно инженерной специальности, а содержат лишь требования - укрупненная группа специальностей и направлений подготовки «Архитектура и строительство», «Строительство», «Строительство уникальных зданий и сооружений», «Строительство, эксплуатация, восстановление и техническое покрытие автомобильных дорог, мостов и тоннелей», что опровергает доводы истца о том, что при прохождении государственной гражданской службы в период с ДД.ММ.ГГГГ по ДД.ММ.ГГГГ (дату подачи заявления о включении в реестр), он занимал непосредственно инженерную должность не менее чем три года. В связи с чем, суд первой инстанции, с которым согласился суд апелляционной инстанции, в удовлетворении иска отказано.</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lastRenderedPageBreak/>
        <w:t>Доводы кассационной жалобы, в том числе о квалификационных характеристиках занимаемых должностей в инспекция государственного строительного надзора, где работал истец в период с ДД.ММ.ГГГГ по ДД.ММ.ГГГГ, являлись предметом исследования судебных инстанций по существу, сводятся к несогласию с выводами судов, изложенными в обжалуемых судебных постановлениях и направлены на иную оценку доказательств по делу, в связи с чем основанием к отмене решения суда и определения судебной коллегии являться не могут, поскольку в соответствии с частью 3 статьи 390 Гражданского процессуального кодекса Российской Федерации кассационный суд общей юрисдикции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Оценка представленных доказательств относится к компетенции судов первой и апелляционной инстанций (статьи 198 и 330 Гражданского процессуального кодекса Российской Федерации).</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Оснований для отмены принятых судебных актов применительно к аргументам, приведенным в кассационной жалобе, не имеется.</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С учётом изложенного кассационная инстанция не находит оснований для отмены обжалуемого судебного акта и удовлетворения кассационной жалобы.</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Руководствуясь статьями 379.7, 390, 390.1 ГПК РФ, судебная коллегия по гражданским делам Второго кассационного суда общей юрисдикции</w:t>
      </w:r>
    </w:p>
    <w:p w:rsidR="00D36FE4" w:rsidRPr="00D36FE4" w:rsidRDefault="00D36FE4" w:rsidP="00D36FE4">
      <w:pPr>
        <w:shd w:val="clear" w:color="auto" w:fill="FFFFFF"/>
        <w:ind w:firstLine="720"/>
        <w:jc w:val="center"/>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определила:</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решение Пресненского районного суда &lt;адрес&gt; от </w:t>
      </w:r>
      <w:proofErr w:type="spellStart"/>
      <w:r w:rsidRPr="00D36FE4">
        <w:rPr>
          <w:rFonts w:ascii="Arial" w:eastAsia="Times New Roman" w:hAnsi="Arial" w:cs="Arial"/>
          <w:color w:val="000000"/>
          <w:sz w:val="21"/>
          <w:szCs w:val="21"/>
          <w:lang w:eastAsia="ru-RU"/>
        </w:rPr>
        <w:t>ДД.ММ.ГГГГг</w:t>
      </w:r>
      <w:proofErr w:type="spellEnd"/>
      <w:proofErr w:type="gramStart"/>
      <w:r w:rsidRPr="00D36FE4">
        <w:rPr>
          <w:rFonts w:ascii="Arial" w:eastAsia="Times New Roman" w:hAnsi="Arial" w:cs="Arial"/>
          <w:color w:val="000000"/>
          <w:sz w:val="21"/>
          <w:szCs w:val="21"/>
          <w:lang w:eastAsia="ru-RU"/>
        </w:rPr>
        <w:t>.</w:t>
      </w:r>
      <w:proofErr w:type="gramEnd"/>
      <w:r w:rsidRPr="00D36FE4">
        <w:rPr>
          <w:rFonts w:ascii="Arial" w:eastAsia="Times New Roman" w:hAnsi="Arial" w:cs="Arial"/>
          <w:color w:val="000000"/>
          <w:sz w:val="21"/>
          <w:szCs w:val="21"/>
          <w:lang w:eastAsia="ru-RU"/>
        </w:rPr>
        <w:t xml:space="preserve"> и апелляционное определение Московского городского суда от ДД.ММ.ГГГГ, по гражданскому делу № оставить без изменения, кассационную жалобу – без удовлетворения.</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Председательствующий</w:t>
      </w:r>
    </w:p>
    <w:p w:rsidR="00D36FE4" w:rsidRPr="00D36FE4" w:rsidRDefault="00D36FE4" w:rsidP="00D36FE4">
      <w:pPr>
        <w:shd w:val="clear" w:color="auto" w:fill="FFFFFF"/>
        <w:ind w:firstLine="720"/>
        <w:rPr>
          <w:rFonts w:ascii="Arial" w:eastAsia="Times New Roman" w:hAnsi="Arial" w:cs="Arial"/>
          <w:color w:val="000000"/>
          <w:sz w:val="21"/>
          <w:szCs w:val="21"/>
          <w:lang w:eastAsia="ru-RU"/>
        </w:rPr>
      </w:pPr>
      <w:r w:rsidRPr="00D36FE4">
        <w:rPr>
          <w:rFonts w:ascii="Arial" w:eastAsia="Times New Roman" w:hAnsi="Arial" w:cs="Arial"/>
          <w:color w:val="000000"/>
          <w:sz w:val="21"/>
          <w:szCs w:val="21"/>
          <w:lang w:eastAsia="ru-RU"/>
        </w:rPr>
        <w:t>Судьи</w:t>
      </w:r>
    </w:p>
    <w:p w:rsidR="00851799" w:rsidRDefault="00851799"/>
    <w:sectPr w:rsidR="00851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A9"/>
    <w:rsid w:val="001F20A9"/>
    <w:rsid w:val="00851799"/>
    <w:rsid w:val="00B67B6A"/>
    <w:rsid w:val="00D36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0A76B-36B7-4B93-8058-5C0C16D7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B6A"/>
    <w:pPr>
      <w:spacing w:after="0" w:line="240" w:lineRule="auto"/>
      <w:jc w:val="both"/>
    </w:pPr>
    <w:rPr>
      <w:rFonts w:ascii="Times New Roman" w:hAnsi="Times New Roman"/>
      <w:sz w:val="24"/>
    </w:rPr>
  </w:style>
  <w:style w:type="paragraph" w:styleId="1">
    <w:name w:val="heading 1"/>
    <w:basedOn w:val="a"/>
    <w:next w:val="a"/>
    <w:link w:val="10"/>
    <w:autoRedefine/>
    <w:uiPriority w:val="9"/>
    <w:qFormat/>
    <w:rsid w:val="00B67B6A"/>
    <w:pPr>
      <w:keepNext/>
      <w:keepLines/>
      <w:spacing w:before="240"/>
      <w:outlineLvl w:val="0"/>
    </w:pPr>
    <w:rPr>
      <w:rFonts w:eastAsiaTheme="majorEastAsia" w:cstheme="majorBidi"/>
      <w:b/>
      <w:color w:val="2E74B5" w:themeColor="accent1" w:themeShade="BF"/>
      <w:sz w:val="32"/>
      <w:szCs w:val="32"/>
    </w:rPr>
  </w:style>
  <w:style w:type="paragraph" w:styleId="2">
    <w:name w:val="heading 2"/>
    <w:basedOn w:val="a"/>
    <w:next w:val="a"/>
    <w:link w:val="20"/>
    <w:autoRedefine/>
    <w:uiPriority w:val="9"/>
    <w:unhideWhenUsed/>
    <w:qFormat/>
    <w:rsid w:val="00B67B6A"/>
    <w:pPr>
      <w:keepNext/>
      <w:keepLines/>
      <w:spacing w:before="40"/>
      <w:outlineLvl w:val="1"/>
    </w:pPr>
    <w:rPr>
      <w:rFonts w:eastAsiaTheme="majorEastAsia" w:cstheme="majorBidi"/>
      <w:b/>
      <w:color w:val="2E74B5" w:themeColor="accent1" w:themeShade="BF"/>
      <w:sz w:val="26"/>
      <w:szCs w:val="26"/>
    </w:rPr>
  </w:style>
  <w:style w:type="paragraph" w:styleId="3">
    <w:name w:val="heading 3"/>
    <w:basedOn w:val="a"/>
    <w:next w:val="a"/>
    <w:link w:val="30"/>
    <w:autoRedefine/>
    <w:uiPriority w:val="9"/>
    <w:unhideWhenUsed/>
    <w:qFormat/>
    <w:rsid w:val="00B67B6A"/>
    <w:pPr>
      <w:keepNext/>
      <w:keepLines/>
      <w:spacing w:before="40"/>
      <w:outlineLvl w:val="2"/>
    </w:pPr>
    <w:rPr>
      <w:rFonts w:eastAsiaTheme="majorEastAsia"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7B6A"/>
    <w:rPr>
      <w:rFonts w:ascii="Times New Roman" w:eastAsiaTheme="majorEastAsia" w:hAnsi="Times New Roman" w:cstheme="majorBidi"/>
      <w:b/>
      <w:color w:val="2E74B5" w:themeColor="accent1" w:themeShade="BF"/>
      <w:sz w:val="26"/>
      <w:szCs w:val="26"/>
    </w:rPr>
  </w:style>
  <w:style w:type="character" w:customStyle="1" w:styleId="10">
    <w:name w:val="Заголовок 1 Знак"/>
    <w:basedOn w:val="a0"/>
    <w:link w:val="1"/>
    <w:uiPriority w:val="9"/>
    <w:rsid w:val="00B67B6A"/>
    <w:rPr>
      <w:rFonts w:ascii="Times New Roman" w:eastAsiaTheme="majorEastAsia" w:hAnsi="Times New Roman" w:cstheme="majorBidi"/>
      <w:b/>
      <w:color w:val="2E74B5" w:themeColor="accent1" w:themeShade="BF"/>
      <w:sz w:val="32"/>
      <w:szCs w:val="32"/>
    </w:rPr>
  </w:style>
  <w:style w:type="character" w:customStyle="1" w:styleId="30">
    <w:name w:val="Заголовок 3 Знак"/>
    <w:basedOn w:val="a0"/>
    <w:link w:val="3"/>
    <w:uiPriority w:val="9"/>
    <w:rsid w:val="00B67B6A"/>
    <w:rPr>
      <w:rFonts w:ascii="Times New Roman" w:eastAsiaTheme="majorEastAsia" w:hAnsi="Times New Roman" w:cstheme="majorBidi"/>
      <w:color w:val="1F4D78" w:themeColor="accent1" w:themeShade="7F"/>
      <w:sz w:val="24"/>
      <w:szCs w:val="24"/>
    </w:rPr>
  </w:style>
  <w:style w:type="paragraph" w:styleId="a3">
    <w:name w:val="Normal (Web)"/>
    <w:basedOn w:val="a"/>
    <w:uiPriority w:val="99"/>
    <w:semiHidden/>
    <w:unhideWhenUsed/>
    <w:rsid w:val="00D36FE4"/>
    <w:pPr>
      <w:spacing w:before="100" w:beforeAutospacing="1" w:after="100" w:afterAutospacing="1"/>
      <w:jc w:val="left"/>
    </w:pPr>
    <w:rPr>
      <w:rFonts w:eastAsia="Times New Roman" w:cs="Times New Roman"/>
      <w:szCs w:val="24"/>
      <w:lang w:eastAsia="ru-RU"/>
    </w:rPr>
  </w:style>
  <w:style w:type="character" w:customStyle="1" w:styleId="fio1">
    <w:name w:val="fio1"/>
    <w:basedOn w:val="a0"/>
    <w:rsid w:val="00D36FE4"/>
  </w:style>
  <w:style w:type="character" w:customStyle="1" w:styleId="address2">
    <w:name w:val="address2"/>
    <w:basedOn w:val="a0"/>
    <w:rsid w:val="00D36FE4"/>
  </w:style>
  <w:style w:type="character" w:customStyle="1" w:styleId="data2">
    <w:name w:val="data2"/>
    <w:basedOn w:val="a0"/>
    <w:rsid w:val="00D36FE4"/>
  </w:style>
  <w:style w:type="character" w:customStyle="1" w:styleId="fio11">
    <w:name w:val="fio11"/>
    <w:basedOn w:val="a0"/>
    <w:rsid w:val="00D36FE4"/>
  </w:style>
  <w:style w:type="character" w:customStyle="1" w:styleId="fio8">
    <w:name w:val="fio8"/>
    <w:basedOn w:val="a0"/>
    <w:rsid w:val="00D36FE4"/>
  </w:style>
  <w:style w:type="character" w:customStyle="1" w:styleId="fio9">
    <w:name w:val="fio9"/>
    <w:basedOn w:val="a0"/>
    <w:rsid w:val="00D36FE4"/>
  </w:style>
  <w:style w:type="character" w:customStyle="1" w:styleId="fio10">
    <w:name w:val="fio10"/>
    <w:basedOn w:val="a0"/>
    <w:rsid w:val="00D36FE4"/>
  </w:style>
  <w:style w:type="character" w:customStyle="1" w:styleId="nomer2">
    <w:name w:val="nomer2"/>
    <w:basedOn w:val="a0"/>
    <w:rsid w:val="00D36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0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8423</Characters>
  <Application>Microsoft Office Word</Application>
  <DocSecurity>0</DocSecurity>
  <Lines>70</Lines>
  <Paragraphs>19</Paragraphs>
  <ScaleCrop>false</ScaleCrop>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Галиев Ильдар Камилевич</dc:creator>
  <cp:keywords/>
  <dc:description/>
  <cp:lastModifiedBy>Галиев Ильдар Камилевич</cp:lastModifiedBy>
  <cp:revision>2</cp:revision>
  <dcterms:created xsi:type="dcterms:W3CDTF">2020-06-15T12:15:00Z</dcterms:created>
  <dcterms:modified xsi:type="dcterms:W3CDTF">2020-06-15T12:16:00Z</dcterms:modified>
</cp:coreProperties>
</file>